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ascii="微软雅黑" w:hAnsi="微软雅黑" w:eastAsia="微软雅黑" w:cs="微软雅黑"/>
          <w:i w:val="0"/>
          <w:iCs w:val="0"/>
          <w:caps w:val="0"/>
          <w:color w:val="3E3E3E"/>
          <w:spacing w:val="7"/>
          <w:sz w:val="32"/>
          <w:szCs w:val="32"/>
          <w:bdr w:val="none" w:color="auto" w:sz="0" w:space="0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E3E3E"/>
          <w:spacing w:val="7"/>
          <w:sz w:val="32"/>
          <w:szCs w:val="32"/>
          <w:bdr w:val="none" w:color="auto" w:sz="0" w:space="0"/>
          <w:shd w:val="clear" w:fill="FFFFFF"/>
        </w:rPr>
        <w:t>2024年度全面依法治市调研课题重点研究方向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习近平法治思想引领法治上海建设实践研究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习近平法治思想与上海红</w:t>
      </w:r>
      <w:bookmarkStart w:id="0" w:name="_GoBack"/>
      <w:bookmarkEnd w:id="0"/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色法治文化理论脉络和现实演进研究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上海国际经济中心建设法治保障研究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上海国际金融中心建设法治保障研究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上海国际贸易中心建设法治保障研究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上海国际航运中心建设法治保障研究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上海国际科技创新中心建设法治保障研究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上海法治化营商环境建设研究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上海数字城市建设法治保障研究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人民城市建设法治保障研究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上海全面依法治市制度机制研究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坚持和发展新时代“枫桥经验”的实践探索研究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浦东引领区建设法治保障研究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长三角一体化发展法治保障研究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上海对标国际高标准经贸规则研究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离岸金融贸易相关法治问题研究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高质量立法服务高质量发展研究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行政执法规范性研究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行政检查与综合监管研究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健全行刑衔接制度机制研究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提升司法公信力研究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公益诉讼制度及实践研究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上海建设国际法律服务中心研究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上海涉外法治建设研究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上海法治人才培养研究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提升上海法学教育质量研究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上海推进企业合规建设研究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3E3E3E"/>
          <w:spacing w:val="7"/>
          <w:sz w:val="28"/>
          <w:szCs w:val="28"/>
          <w:bdr w:val="none" w:color="auto" w:sz="0" w:space="0"/>
          <w:shd w:val="clear" w:fill="FFFFFF"/>
        </w:rPr>
        <w:t>上海法律科技应用与发展研究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jI5MWRhMzhjMWMxNDZkZmY3NzJiZjkwNDY2NWUifQ=="/>
  </w:docVars>
  <w:rsids>
    <w:rsidRoot w:val="00000000"/>
    <w:rsid w:val="0203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2024-03-05T03:05:30Z</dcterms:created>
  <dc:creator>Administrator</dc:creator>
  <cp:lastModifiedBy>文</cp:lastModifiedBy>
  <dcterms:modified xsi:type="dcterms:W3CDTF">2024-03-05T03:08:01Z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F599B359402746F8B0EF799556DB496E_12</vt:lpwstr>
  </property>
</Properties>
</file>