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上海政法学院研究生国家奖学金评审规则</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（试行）</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36"/>
          <w:szCs w:val="36"/>
          <w:lang w:val="en-US" w:eastAsia="zh-CN"/>
        </w:rPr>
      </w:pPr>
    </w:p>
    <w:p>
      <w:pPr>
        <w:pStyle w:val="4"/>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420" w:firstLineChars="150"/>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eastAsia="zh-CN"/>
        </w:rPr>
        <w:t>按当年度市</w:t>
      </w:r>
      <w:r>
        <w:rPr>
          <w:rFonts w:hint="eastAsia" w:ascii="仿宋" w:hAnsi="仿宋" w:eastAsia="仿宋" w:cs="仿宋"/>
          <w:sz w:val="28"/>
          <w:szCs w:val="28"/>
        </w:rPr>
        <w:t>教委下拨的研究生国家奖学金名额</w:t>
      </w:r>
      <w:r>
        <w:rPr>
          <w:rFonts w:hint="eastAsia" w:ascii="仿宋" w:hAnsi="仿宋" w:eastAsia="仿宋" w:cs="仿宋"/>
          <w:sz w:val="28"/>
          <w:szCs w:val="28"/>
          <w:lang w:eastAsia="zh-CN"/>
        </w:rPr>
        <w:t>，原则上以</w:t>
      </w:r>
      <w:r>
        <w:rPr>
          <w:rFonts w:hint="eastAsia" w:ascii="仿宋" w:hAnsi="仿宋" w:eastAsia="仿宋" w:cs="仿宋"/>
          <w:color w:val="000000"/>
          <w:sz w:val="28"/>
          <w:szCs w:val="28"/>
        </w:rPr>
        <w:t>1:2</w:t>
      </w:r>
      <w:r>
        <w:rPr>
          <w:rFonts w:hint="eastAsia" w:ascii="仿宋" w:hAnsi="仿宋" w:eastAsia="仿宋" w:cs="仿宋"/>
          <w:sz w:val="28"/>
          <w:szCs w:val="28"/>
        </w:rPr>
        <w:t>的比例配比</w:t>
      </w:r>
      <w:r>
        <w:rPr>
          <w:rFonts w:hint="eastAsia" w:ascii="仿宋" w:hAnsi="仿宋" w:eastAsia="仿宋" w:cs="仿宋"/>
          <w:sz w:val="28"/>
          <w:szCs w:val="28"/>
          <w:lang w:eastAsia="zh-CN"/>
        </w:rPr>
        <w:t>到二级学院</w:t>
      </w:r>
      <w:r>
        <w:rPr>
          <w:rFonts w:hint="eastAsia" w:ascii="仿宋" w:hAnsi="仿宋" w:eastAsia="仿宋" w:cs="仿宋"/>
          <w:sz w:val="28"/>
          <w:szCs w:val="28"/>
        </w:rPr>
        <w:t>，</w:t>
      </w:r>
      <w:r>
        <w:rPr>
          <w:rFonts w:hint="eastAsia" w:ascii="仿宋" w:hAnsi="仿宋" w:eastAsia="仿宋" w:cs="仿宋"/>
          <w:sz w:val="28"/>
          <w:szCs w:val="28"/>
          <w:lang w:eastAsia="zh-CN"/>
        </w:rPr>
        <w:t>二级学院评审委员会负责初选国奖候选人报送到学工部。</w:t>
      </w:r>
    </w:p>
    <w:p>
      <w:pPr>
        <w:pStyle w:val="4"/>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firstLine="420" w:firstLineChars="150"/>
        <w:textAlignment w:val="baseline"/>
        <w:rPr>
          <w:rFonts w:hint="eastAsia" w:ascii="仿宋" w:hAnsi="仿宋" w:eastAsia="仿宋" w:cs="仿宋"/>
          <w:sz w:val="28"/>
          <w:szCs w:val="28"/>
          <w:lang w:val="en-US" w:eastAsia="zh-CN"/>
        </w:rPr>
      </w:pPr>
      <w:r>
        <w:rPr>
          <w:rFonts w:hint="eastAsia" w:ascii="仿宋" w:hAnsi="仿宋" w:eastAsia="仿宋" w:cs="仿宋"/>
          <w:sz w:val="28"/>
          <w:szCs w:val="28"/>
        </w:rPr>
        <w:t>学校实行差额评选</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校级评审流程分为书面材料审核和现场答辩两个阶段。其中书面审核得分占50%（权重满分50分），答辩得分占50%（满分50分）。依据两部分的总得分，按</w:t>
      </w:r>
      <w:r>
        <w:rPr>
          <w:rFonts w:hint="eastAsia" w:ascii="仿宋" w:hAnsi="仿宋" w:eastAsia="仿宋" w:cs="仿宋"/>
          <w:sz w:val="28"/>
          <w:szCs w:val="28"/>
        </w:rPr>
        <w:t>学术型研究生</w:t>
      </w:r>
      <w:r>
        <w:rPr>
          <w:rFonts w:hint="eastAsia" w:ascii="仿宋" w:hAnsi="仿宋" w:eastAsia="仿宋" w:cs="仿宋"/>
          <w:sz w:val="28"/>
          <w:szCs w:val="28"/>
          <w:lang w:val="en-US" w:eastAsia="zh-CN"/>
        </w:rPr>
        <w:t>和</w:t>
      </w:r>
      <w:r>
        <w:rPr>
          <w:rFonts w:hint="eastAsia" w:ascii="仿宋" w:hAnsi="仿宋" w:eastAsia="仿宋" w:cs="仿宋"/>
          <w:sz w:val="28"/>
          <w:szCs w:val="28"/>
        </w:rPr>
        <w:t>专业学位研究生</w:t>
      </w:r>
      <w:r>
        <w:rPr>
          <w:rFonts w:hint="eastAsia" w:ascii="仿宋" w:hAnsi="仿宋" w:eastAsia="仿宋" w:cs="仿宋"/>
          <w:sz w:val="28"/>
          <w:szCs w:val="28"/>
          <w:lang w:eastAsia="zh-CN"/>
        </w:rPr>
        <w:t>的两个不同类别，成绩从高到低各取前</w:t>
      </w:r>
      <w:r>
        <w:rPr>
          <w:rFonts w:hint="eastAsia" w:ascii="仿宋" w:hAnsi="仿宋" w:eastAsia="仿宋" w:cs="仿宋"/>
          <w:sz w:val="28"/>
          <w:szCs w:val="28"/>
          <w:lang w:val="en-US" w:eastAsia="zh-CN"/>
        </w:rPr>
        <w:t>50%的候选人作为学校拟定的推荐人。若进入答辩环节的</w:t>
      </w:r>
      <w:r>
        <w:rPr>
          <w:rFonts w:hint="eastAsia" w:ascii="仿宋" w:hAnsi="仿宋" w:eastAsia="仿宋" w:cs="仿宋"/>
          <w:sz w:val="28"/>
          <w:szCs w:val="28"/>
        </w:rPr>
        <w:t>学术型研究生</w:t>
      </w:r>
      <w:r>
        <w:rPr>
          <w:rFonts w:hint="eastAsia" w:ascii="仿宋" w:hAnsi="仿宋" w:eastAsia="仿宋" w:cs="仿宋"/>
          <w:sz w:val="28"/>
          <w:szCs w:val="28"/>
          <w:lang w:val="en-US" w:eastAsia="zh-CN"/>
        </w:rPr>
        <w:t>和</w:t>
      </w:r>
      <w:r>
        <w:rPr>
          <w:rFonts w:hint="eastAsia" w:ascii="仿宋" w:hAnsi="仿宋" w:eastAsia="仿宋" w:cs="仿宋"/>
          <w:sz w:val="28"/>
          <w:szCs w:val="28"/>
        </w:rPr>
        <w:t>专业学位研究生</w:t>
      </w:r>
      <w:r>
        <w:rPr>
          <w:rFonts w:hint="eastAsia" w:ascii="仿宋" w:hAnsi="仿宋" w:eastAsia="仿宋" w:cs="仿宋"/>
          <w:sz w:val="28"/>
          <w:szCs w:val="28"/>
          <w:lang w:eastAsia="zh-CN"/>
        </w:rPr>
        <w:t>的总人数均为奇数，则最后一名的</w:t>
      </w:r>
      <w:r>
        <w:rPr>
          <w:rFonts w:hint="eastAsia" w:ascii="仿宋" w:hAnsi="仿宋" w:eastAsia="仿宋" w:cs="仿宋"/>
          <w:sz w:val="28"/>
          <w:szCs w:val="28"/>
          <w:lang w:val="en-US" w:eastAsia="zh-CN"/>
        </w:rPr>
        <w:t>拟定推荐人由两部分的总得分决定。</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630" w:leftChars="0" w:right="0" w:rightChars="0"/>
        <w:jc w:val="left"/>
        <w:textAlignment w:val="auto"/>
        <w:outlineLvl w:val="9"/>
        <w:rPr>
          <w:rFonts w:hint="eastAsia" w:ascii="仿宋" w:hAnsi="仿宋" w:eastAsia="仿宋" w:cs="仿宋"/>
          <w:kern w:val="0"/>
          <w:sz w:val="28"/>
          <w:szCs w:val="28"/>
          <w:lang w:val="en-US" w:eastAsia="zh-CN"/>
        </w:rPr>
      </w:pPr>
      <w:r>
        <w:rPr>
          <w:rFonts w:hint="eastAsia" w:ascii="方正小标宋简体" w:hAnsi="方正小标宋简体" w:eastAsia="方正小标宋简体" w:cs="方正小标宋简体"/>
          <w:b w:val="0"/>
          <w:bCs w:val="0"/>
          <w:sz w:val="36"/>
          <w:szCs w:val="36"/>
          <w:lang w:val="en-US" w:eastAsia="zh-CN"/>
        </w:rPr>
        <w:t>一、书面材料审核计分标准</w:t>
      </w:r>
      <w:r>
        <w:rPr>
          <w:rFonts w:hint="eastAsia" w:ascii="仿宋" w:hAnsi="仿宋" w:eastAsia="仿宋" w:cs="仿宋"/>
          <w:kern w:val="0"/>
          <w:sz w:val="28"/>
          <w:szCs w:val="28"/>
          <w:lang w:val="en-US" w:eastAsia="zh-CN"/>
        </w:rPr>
        <w:t>（权重满分50分）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630" w:leftChars="0" w:right="0" w:rightChars="0"/>
        <w:jc w:val="left"/>
        <w:textAlignment w:val="auto"/>
        <w:outlineLvl w:val="9"/>
      </w:pPr>
      <w:r>
        <w:drawing>
          <wp:inline distT="0" distB="0" distL="114300" distR="114300">
            <wp:extent cx="2266950" cy="409575"/>
            <wp:effectExtent l="0" t="0" r="0" b="8890"/>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4"/>
                    <a:stretch>
                      <a:fillRect/>
                    </a:stretch>
                  </pic:blipFill>
                  <pic:spPr>
                    <a:xfrm>
                      <a:off x="0" y="0"/>
                      <a:ext cx="2266950" cy="409575"/>
                    </a:xfrm>
                    <a:prstGeom prst="rect">
                      <a:avLst/>
                    </a:prstGeom>
                    <a:noFill/>
                    <a:ln>
                      <a:noFill/>
                    </a:ln>
                  </pic:spPr>
                </pic:pic>
              </a:graphicData>
            </a:graphic>
          </wp:inline>
        </w:drawing>
      </w:r>
    </w:p>
    <w:p>
      <w:pPr>
        <w:spacing w:line="300" w:lineRule="auto"/>
        <w:rPr>
          <w:rFonts w:hint="eastAsia"/>
          <w:b/>
          <w:bCs/>
          <w:sz w:val="24"/>
        </w:rPr>
      </w:pPr>
      <w:r>
        <w:rPr>
          <w:rFonts w:hint="eastAsia"/>
          <w:b/>
          <w:bCs/>
          <w:sz w:val="24"/>
          <w:szCs w:val="24"/>
          <w:lang w:eastAsia="zh-CN"/>
        </w:rPr>
        <w:t>（一）</w:t>
      </w:r>
      <w:r>
        <w:rPr>
          <w:rFonts w:hint="eastAsia"/>
          <w:b/>
          <w:bCs/>
          <w:sz w:val="24"/>
          <w:szCs w:val="24"/>
        </w:rPr>
        <w:t>科</w:t>
      </w:r>
      <w:r>
        <w:rPr>
          <w:rFonts w:hint="eastAsia"/>
          <w:b/>
          <w:sz w:val="24"/>
          <w:szCs w:val="24"/>
        </w:rPr>
        <w:t>研成绩计分标准</w:t>
      </w:r>
    </w:p>
    <w:tbl>
      <w:tblPr>
        <w:tblStyle w:val="5"/>
        <w:tblpPr w:leftFromText="180" w:rightFromText="180" w:vertAnchor="text" w:horzAnchor="page" w:tblpX="1507" w:tblpY="409"/>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95"/>
        <w:gridCol w:w="2495"/>
        <w:gridCol w:w="2067"/>
        <w:gridCol w:w="3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4480" w:type="dxa"/>
            <w:gridSpan w:val="3"/>
            <w:noWrap w:val="0"/>
            <w:vAlign w:val="center"/>
          </w:tcPr>
          <w:p>
            <w:pPr>
              <w:spacing w:line="300" w:lineRule="auto"/>
              <w:jc w:val="center"/>
              <w:rPr>
                <w:rFonts w:hint="eastAsia" w:ascii="宋体" w:hAnsi="宋体"/>
                <w:b/>
                <w:bCs/>
                <w:sz w:val="24"/>
                <w:szCs w:val="24"/>
              </w:rPr>
            </w:pPr>
            <w:r>
              <w:rPr>
                <w:rFonts w:hint="eastAsia" w:ascii="宋体" w:hAnsi="宋体"/>
                <w:b/>
                <w:bCs/>
                <w:sz w:val="24"/>
                <w:szCs w:val="24"/>
              </w:rPr>
              <w:t>项   目</w:t>
            </w:r>
          </w:p>
        </w:tc>
        <w:tc>
          <w:tcPr>
            <w:tcW w:w="2067" w:type="dxa"/>
            <w:noWrap w:val="0"/>
            <w:vAlign w:val="center"/>
          </w:tcPr>
          <w:p>
            <w:pPr>
              <w:spacing w:line="300" w:lineRule="auto"/>
              <w:jc w:val="center"/>
              <w:rPr>
                <w:rFonts w:hint="eastAsia" w:ascii="宋体" w:hAnsi="宋体"/>
                <w:b/>
                <w:bCs/>
                <w:sz w:val="24"/>
                <w:szCs w:val="24"/>
              </w:rPr>
            </w:pPr>
            <w:r>
              <w:rPr>
                <w:rFonts w:hint="eastAsia" w:ascii="宋体" w:hAnsi="宋体"/>
                <w:b/>
                <w:bCs/>
                <w:sz w:val="24"/>
                <w:szCs w:val="24"/>
              </w:rPr>
              <w:t>计</w:t>
            </w:r>
            <w:r>
              <w:rPr>
                <w:rFonts w:ascii="宋体" w:hAnsi="宋体"/>
                <w:b/>
                <w:bCs/>
                <w:sz w:val="24"/>
                <w:szCs w:val="24"/>
              </w:rPr>
              <w:t xml:space="preserve"> </w:t>
            </w:r>
            <w:r>
              <w:rPr>
                <w:rFonts w:hint="eastAsia" w:ascii="宋体" w:hAnsi="宋体"/>
                <w:b/>
                <w:bCs/>
                <w:sz w:val="24"/>
                <w:szCs w:val="24"/>
              </w:rPr>
              <w:t>分</w:t>
            </w:r>
          </w:p>
          <w:p>
            <w:pPr>
              <w:spacing w:line="300" w:lineRule="auto"/>
              <w:jc w:val="center"/>
              <w:rPr>
                <w:rFonts w:hint="eastAsia" w:ascii="宋体" w:hAnsi="宋体"/>
                <w:b/>
                <w:bCs/>
                <w:sz w:val="24"/>
                <w:szCs w:val="24"/>
              </w:rPr>
            </w:pPr>
            <w:r>
              <w:rPr>
                <w:rFonts w:hint="eastAsia" w:ascii="宋体" w:hAnsi="宋体"/>
                <w:b/>
                <w:bCs/>
                <w:sz w:val="24"/>
                <w:szCs w:val="24"/>
              </w:rPr>
              <w:t>标 准</w:t>
            </w:r>
          </w:p>
        </w:tc>
        <w:tc>
          <w:tcPr>
            <w:tcW w:w="3093" w:type="dxa"/>
            <w:noWrap w:val="0"/>
            <w:vAlign w:val="center"/>
          </w:tcPr>
          <w:p>
            <w:pPr>
              <w:spacing w:line="300" w:lineRule="auto"/>
              <w:jc w:val="center"/>
              <w:rPr>
                <w:rFonts w:hint="eastAsia" w:ascii="宋体" w:hAnsi="宋体"/>
                <w:b/>
                <w:bCs/>
                <w:sz w:val="24"/>
                <w:szCs w:val="24"/>
              </w:rPr>
            </w:pPr>
            <w:r>
              <w:rPr>
                <w:rFonts w:hint="eastAsia" w:ascii="宋体" w:hAnsi="宋体"/>
                <w:b/>
                <w:bCs/>
                <w:sz w:val="24"/>
                <w:szCs w:val="24"/>
              </w:rPr>
              <w:t xml:space="preserve">说 </w:t>
            </w:r>
            <w:r>
              <w:rPr>
                <w:rFonts w:ascii="宋体" w:hAnsi="宋体"/>
                <w:b/>
                <w:bCs/>
                <w:sz w:val="24"/>
                <w:szCs w:val="24"/>
              </w:rPr>
              <w:t xml:space="preserve"> </w:t>
            </w:r>
            <w:r>
              <w:rPr>
                <w:rFonts w:hint="eastAsia" w:ascii="宋体" w:hAnsi="宋体"/>
                <w:b/>
                <w:bCs/>
                <w:sz w:val="24"/>
                <w:szCs w:val="24"/>
              </w:rPr>
              <w:t xml:space="preserve">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590" w:type="dxa"/>
            <w:vMerge w:val="restart"/>
            <w:noWrap w:val="0"/>
            <w:vAlign w:val="center"/>
          </w:tcPr>
          <w:p>
            <w:pPr>
              <w:spacing w:line="300" w:lineRule="auto"/>
              <w:jc w:val="center"/>
              <w:rPr>
                <w:b/>
                <w:bCs/>
              </w:rPr>
            </w:pPr>
            <w:r>
              <w:rPr>
                <w:rFonts w:hint="eastAsia"/>
                <w:b/>
                <w:bCs/>
              </w:rPr>
              <w:t>论文</w:t>
            </w:r>
          </w:p>
        </w:tc>
        <w:tc>
          <w:tcPr>
            <w:tcW w:w="3890" w:type="dxa"/>
            <w:gridSpan w:val="2"/>
            <w:noWrap w:val="0"/>
            <w:vAlign w:val="center"/>
          </w:tcPr>
          <w:p>
            <w:pPr>
              <w:spacing w:before="124" w:beforeLines="40" w:after="124" w:afterLines="40"/>
              <w:jc w:val="left"/>
              <w:rPr>
                <w:rFonts w:hint="eastAsia"/>
              </w:rPr>
            </w:pPr>
            <w:r>
              <w:rPr>
                <w:rFonts w:hint="eastAsia"/>
              </w:rPr>
              <w:t>发表在SCI、CSSCI目录期刊上的论文，或在一般期刊上发表但被人大复印资料转载的论文</w:t>
            </w:r>
          </w:p>
        </w:tc>
        <w:tc>
          <w:tcPr>
            <w:tcW w:w="2067" w:type="dxa"/>
            <w:tcBorders>
              <w:bottom w:val="single" w:color="auto" w:sz="4" w:space="0"/>
            </w:tcBorders>
            <w:noWrap w:val="0"/>
            <w:vAlign w:val="center"/>
          </w:tcPr>
          <w:p>
            <w:pPr>
              <w:spacing w:before="124" w:beforeLines="40" w:after="124" w:afterLines="40"/>
              <w:rPr>
                <w:rFonts w:hint="eastAsia"/>
              </w:rPr>
            </w:pPr>
            <w:r>
              <w:rPr>
                <w:rFonts w:hint="eastAsia"/>
              </w:rPr>
              <w:t>40分/篇</w:t>
            </w:r>
          </w:p>
        </w:tc>
        <w:tc>
          <w:tcPr>
            <w:tcW w:w="3093" w:type="dxa"/>
            <w:vMerge w:val="restart"/>
            <w:noWrap w:val="0"/>
            <w:tcMar>
              <w:top w:w="57" w:type="dxa"/>
            </w:tcMar>
            <w:vAlign w:val="top"/>
          </w:tcPr>
          <w:p>
            <w:pPr>
              <w:spacing w:line="300" w:lineRule="auto"/>
              <w:rPr>
                <w:rFonts w:hint="eastAsia"/>
              </w:rPr>
            </w:pPr>
            <w:r>
              <w:rPr>
                <w:rFonts w:hint="eastAsia"/>
              </w:rPr>
              <w:t>1. 同一论文被不同刊物收录（转载），以最高级别刊物加分，不累加；</w:t>
            </w:r>
          </w:p>
          <w:p>
            <w:pPr>
              <w:spacing w:line="300" w:lineRule="auto"/>
              <w:rPr>
                <w:rFonts w:hint="eastAsia"/>
                <w:szCs w:val="22"/>
              </w:rPr>
            </w:pPr>
            <w:r>
              <w:rPr>
                <w:rFonts w:hint="eastAsia"/>
                <w:szCs w:val="22"/>
              </w:rPr>
              <w:t>2.两人合著的学术论文，第一作者加满分的60%，第二作者40%；</w:t>
            </w:r>
          </w:p>
          <w:p>
            <w:pPr>
              <w:spacing w:line="300" w:lineRule="auto"/>
              <w:rPr>
                <w:rFonts w:hint="eastAsia"/>
                <w:szCs w:val="22"/>
              </w:rPr>
            </w:pPr>
            <w:r>
              <w:rPr>
                <w:rFonts w:hint="eastAsia"/>
                <w:szCs w:val="22"/>
              </w:rPr>
              <w:t>3.三人合著的学术论文，第一作者加满分的50%，第二作者30%，第三作者20%；</w:t>
            </w:r>
          </w:p>
          <w:p>
            <w:pPr>
              <w:spacing w:line="300" w:lineRule="auto"/>
              <w:rPr>
                <w:rFonts w:hint="eastAsia"/>
                <w:szCs w:val="22"/>
              </w:rPr>
            </w:pPr>
            <w:r>
              <w:rPr>
                <w:rFonts w:hint="eastAsia"/>
                <w:szCs w:val="22"/>
              </w:rPr>
              <w:t>4. 同一论文在不同的学术会议上收录，计分1次，不累加。</w:t>
            </w:r>
          </w:p>
          <w:p>
            <w:pPr>
              <w:spacing w:line="30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trPr>
        <w:tc>
          <w:tcPr>
            <w:tcW w:w="590" w:type="dxa"/>
            <w:vMerge w:val="continue"/>
            <w:noWrap w:val="0"/>
            <w:vAlign w:val="top"/>
          </w:tcPr>
          <w:p>
            <w:pPr>
              <w:spacing w:line="300" w:lineRule="auto"/>
              <w:jc w:val="left"/>
              <w:rPr>
                <w:b/>
                <w:bCs/>
              </w:rPr>
            </w:pPr>
          </w:p>
        </w:tc>
        <w:tc>
          <w:tcPr>
            <w:tcW w:w="3890" w:type="dxa"/>
            <w:gridSpan w:val="2"/>
            <w:noWrap w:val="0"/>
            <w:vAlign w:val="center"/>
          </w:tcPr>
          <w:p>
            <w:pPr>
              <w:spacing w:before="124" w:beforeLines="40" w:after="124" w:afterLines="40"/>
              <w:jc w:val="left"/>
              <w:rPr>
                <w:rFonts w:hint="eastAsia"/>
                <w:szCs w:val="22"/>
              </w:rPr>
            </w:pPr>
            <w:r>
              <w:rPr>
                <w:rFonts w:hint="eastAsia"/>
                <w:szCs w:val="22"/>
              </w:rPr>
              <w:t>发表在在北大中文核心目录期刊或CSSCI目录期刊（扩展板）的论文</w:t>
            </w:r>
          </w:p>
        </w:tc>
        <w:tc>
          <w:tcPr>
            <w:tcW w:w="2067" w:type="dxa"/>
            <w:noWrap w:val="0"/>
            <w:vAlign w:val="center"/>
          </w:tcPr>
          <w:p>
            <w:pPr>
              <w:spacing w:before="124" w:beforeLines="40" w:after="124" w:afterLines="40"/>
              <w:jc w:val="left"/>
              <w:rPr>
                <w:rFonts w:hint="eastAsia"/>
                <w:szCs w:val="22"/>
              </w:rPr>
            </w:pPr>
            <w:r>
              <w:rPr>
                <w:rFonts w:hint="eastAsia"/>
                <w:szCs w:val="22"/>
              </w:rPr>
              <w:t>25分/篇</w:t>
            </w:r>
          </w:p>
        </w:tc>
        <w:tc>
          <w:tcPr>
            <w:tcW w:w="3093" w:type="dxa"/>
            <w:vMerge w:val="continue"/>
            <w:noWrap w:val="0"/>
            <w:vAlign w:val="top"/>
          </w:tcPr>
          <w:p>
            <w:pPr>
              <w:spacing w:line="30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590" w:type="dxa"/>
            <w:vMerge w:val="continue"/>
            <w:noWrap w:val="0"/>
            <w:vAlign w:val="top"/>
          </w:tcPr>
          <w:p>
            <w:pPr>
              <w:spacing w:line="300" w:lineRule="auto"/>
              <w:jc w:val="left"/>
              <w:rPr>
                <w:rFonts w:hint="eastAsia"/>
                <w:b/>
                <w:bCs/>
              </w:rPr>
            </w:pPr>
          </w:p>
        </w:tc>
        <w:tc>
          <w:tcPr>
            <w:tcW w:w="3890" w:type="dxa"/>
            <w:gridSpan w:val="2"/>
            <w:noWrap w:val="0"/>
            <w:vAlign w:val="center"/>
          </w:tcPr>
          <w:p>
            <w:pPr>
              <w:spacing w:before="124" w:beforeLines="40" w:after="124" w:afterLines="40"/>
              <w:jc w:val="left"/>
              <w:rPr>
                <w:rFonts w:hint="eastAsia"/>
                <w:szCs w:val="22"/>
              </w:rPr>
            </w:pPr>
            <w:r>
              <w:rPr>
                <w:rFonts w:hint="eastAsia"/>
                <w:szCs w:val="22"/>
              </w:rPr>
              <w:t>发表在一般学术期刊上的论文</w:t>
            </w:r>
          </w:p>
        </w:tc>
        <w:tc>
          <w:tcPr>
            <w:tcW w:w="2067" w:type="dxa"/>
            <w:noWrap w:val="0"/>
            <w:vAlign w:val="center"/>
          </w:tcPr>
          <w:p>
            <w:pPr>
              <w:spacing w:before="124" w:beforeLines="40" w:after="124" w:afterLines="40"/>
              <w:jc w:val="left"/>
              <w:rPr>
                <w:rFonts w:hint="eastAsia"/>
                <w:szCs w:val="22"/>
              </w:rPr>
            </w:pPr>
            <w:r>
              <w:rPr>
                <w:rFonts w:hint="eastAsia"/>
                <w:szCs w:val="22"/>
              </w:rPr>
              <w:t>5分/篇（</w:t>
            </w:r>
            <w:r>
              <w:rPr>
                <w:rFonts w:hint="eastAsia"/>
                <w:szCs w:val="22"/>
                <w:highlight w:val="none"/>
                <w:lang w:val="en-US" w:eastAsia="zh-CN"/>
              </w:rPr>
              <w:t>3000</w:t>
            </w:r>
            <w:r>
              <w:rPr>
                <w:rFonts w:hint="eastAsia"/>
                <w:szCs w:val="22"/>
                <w:highlight w:val="none"/>
              </w:rPr>
              <w:t>字以</w:t>
            </w:r>
            <w:r>
              <w:rPr>
                <w:rFonts w:hint="eastAsia"/>
                <w:szCs w:val="22"/>
              </w:rPr>
              <w:t>上才加分）</w:t>
            </w:r>
          </w:p>
        </w:tc>
        <w:tc>
          <w:tcPr>
            <w:tcW w:w="3093" w:type="dxa"/>
            <w:vMerge w:val="continue"/>
            <w:noWrap w:val="0"/>
            <w:vAlign w:val="top"/>
          </w:tcPr>
          <w:p>
            <w:pPr>
              <w:spacing w:line="30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590" w:type="dxa"/>
            <w:vMerge w:val="continue"/>
            <w:noWrap w:val="0"/>
            <w:vAlign w:val="top"/>
          </w:tcPr>
          <w:p>
            <w:pPr>
              <w:spacing w:line="300" w:lineRule="auto"/>
              <w:jc w:val="left"/>
              <w:rPr>
                <w:rFonts w:hint="eastAsia"/>
                <w:b/>
                <w:bCs/>
              </w:rPr>
            </w:pPr>
          </w:p>
        </w:tc>
        <w:tc>
          <w:tcPr>
            <w:tcW w:w="3890" w:type="dxa"/>
            <w:gridSpan w:val="2"/>
            <w:noWrap w:val="0"/>
            <w:vAlign w:val="center"/>
          </w:tcPr>
          <w:p>
            <w:pPr>
              <w:spacing w:before="124" w:beforeLines="40" w:after="124" w:afterLines="40"/>
              <w:jc w:val="left"/>
              <w:rPr>
                <w:rFonts w:hint="eastAsia"/>
                <w:szCs w:val="22"/>
              </w:rPr>
            </w:pPr>
            <w:r>
              <w:rPr>
                <w:rFonts w:hint="eastAsia"/>
                <w:szCs w:val="22"/>
              </w:rPr>
              <w:t>收录到全国或国际学术会议论文集的论文</w:t>
            </w:r>
          </w:p>
        </w:tc>
        <w:tc>
          <w:tcPr>
            <w:tcW w:w="2067" w:type="dxa"/>
            <w:noWrap w:val="0"/>
            <w:vAlign w:val="center"/>
          </w:tcPr>
          <w:p>
            <w:pPr>
              <w:spacing w:before="124" w:beforeLines="40" w:after="124" w:afterLines="40"/>
              <w:jc w:val="left"/>
              <w:rPr>
                <w:rFonts w:hint="eastAsia"/>
                <w:szCs w:val="22"/>
              </w:rPr>
            </w:pPr>
            <w:r>
              <w:rPr>
                <w:rFonts w:hint="eastAsia"/>
                <w:szCs w:val="22"/>
              </w:rPr>
              <w:t>3分/篇（限3篇）</w:t>
            </w:r>
          </w:p>
        </w:tc>
        <w:tc>
          <w:tcPr>
            <w:tcW w:w="3093" w:type="dxa"/>
            <w:vMerge w:val="continue"/>
            <w:noWrap w:val="0"/>
            <w:vAlign w:val="top"/>
          </w:tcPr>
          <w:p>
            <w:pPr>
              <w:spacing w:line="30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trPr>
        <w:tc>
          <w:tcPr>
            <w:tcW w:w="590" w:type="dxa"/>
            <w:vMerge w:val="continue"/>
            <w:noWrap w:val="0"/>
            <w:vAlign w:val="top"/>
          </w:tcPr>
          <w:p>
            <w:pPr>
              <w:spacing w:line="300" w:lineRule="auto"/>
              <w:jc w:val="left"/>
              <w:rPr>
                <w:rFonts w:hint="eastAsia"/>
                <w:b/>
                <w:bCs/>
              </w:rPr>
            </w:pPr>
          </w:p>
        </w:tc>
        <w:tc>
          <w:tcPr>
            <w:tcW w:w="3890" w:type="dxa"/>
            <w:gridSpan w:val="2"/>
            <w:noWrap w:val="0"/>
            <w:vAlign w:val="center"/>
          </w:tcPr>
          <w:p>
            <w:pPr>
              <w:spacing w:before="124" w:beforeLines="40" w:after="124" w:afterLines="40"/>
              <w:jc w:val="left"/>
              <w:rPr>
                <w:rFonts w:hint="eastAsia"/>
                <w:szCs w:val="22"/>
              </w:rPr>
            </w:pPr>
            <w:r>
              <w:rPr>
                <w:rFonts w:hint="eastAsia"/>
                <w:szCs w:val="22"/>
              </w:rPr>
              <w:t>发表在学术期刊的增刊、专刊和特刊上的论文</w:t>
            </w:r>
          </w:p>
        </w:tc>
        <w:tc>
          <w:tcPr>
            <w:tcW w:w="2067" w:type="dxa"/>
            <w:noWrap w:val="0"/>
            <w:vAlign w:val="center"/>
          </w:tcPr>
          <w:p>
            <w:pPr>
              <w:spacing w:before="124" w:beforeLines="40" w:after="124" w:afterLines="40"/>
              <w:jc w:val="left"/>
              <w:rPr>
                <w:rFonts w:hint="eastAsia"/>
                <w:szCs w:val="22"/>
              </w:rPr>
            </w:pPr>
            <w:r>
              <w:rPr>
                <w:rFonts w:hint="eastAsia"/>
                <w:szCs w:val="22"/>
              </w:rPr>
              <w:t>3分/篇（限3篇）</w:t>
            </w:r>
          </w:p>
        </w:tc>
        <w:tc>
          <w:tcPr>
            <w:tcW w:w="3093" w:type="dxa"/>
            <w:vMerge w:val="continue"/>
            <w:noWrap w:val="0"/>
            <w:vAlign w:val="top"/>
          </w:tcPr>
          <w:p>
            <w:pPr>
              <w:spacing w:line="30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590" w:type="dxa"/>
            <w:vMerge w:val="continue"/>
            <w:noWrap w:val="0"/>
            <w:vAlign w:val="top"/>
          </w:tcPr>
          <w:p>
            <w:pPr>
              <w:spacing w:line="300" w:lineRule="auto"/>
              <w:jc w:val="left"/>
              <w:rPr>
                <w:rFonts w:hint="eastAsia"/>
                <w:b/>
                <w:bCs/>
              </w:rPr>
            </w:pPr>
          </w:p>
        </w:tc>
        <w:tc>
          <w:tcPr>
            <w:tcW w:w="3890" w:type="dxa"/>
            <w:gridSpan w:val="2"/>
            <w:noWrap w:val="0"/>
            <w:vAlign w:val="center"/>
          </w:tcPr>
          <w:p>
            <w:pPr>
              <w:spacing w:before="124" w:beforeLines="40" w:after="124" w:afterLines="40"/>
              <w:jc w:val="left"/>
              <w:rPr>
                <w:rFonts w:hint="eastAsia"/>
                <w:szCs w:val="22"/>
                <w:highlight w:val="none"/>
              </w:rPr>
            </w:pPr>
            <w:r>
              <w:rPr>
                <w:rFonts w:hint="eastAsia"/>
                <w:szCs w:val="22"/>
                <w:highlight w:val="none"/>
              </w:rPr>
              <w:t>发表在《上政法律评论》的论文</w:t>
            </w:r>
          </w:p>
        </w:tc>
        <w:tc>
          <w:tcPr>
            <w:tcW w:w="2067" w:type="dxa"/>
            <w:noWrap w:val="0"/>
            <w:vAlign w:val="center"/>
          </w:tcPr>
          <w:p>
            <w:pPr>
              <w:spacing w:before="124" w:beforeLines="40" w:after="124" w:afterLines="40"/>
              <w:jc w:val="left"/>
              <w:rPr>
                <w:rFonts w:hint="eastAsia"/>
                <w:szCs w:val="22"/>
                <w:highlight w:val="none"/>
              </w:rPr>
            </w:pPr>
            <w:r>
              <w:rPr>
                <w:rFonts w:hint="eastAsia"/>
                <w:szCs w:val="22"/>
                <w:highlight w:val="none"/>
              </w:rPr>
              <w:t>3分/篇（限3篇）</w:t>
            </w:r>
          </w:p>
        </w:tc>
        <w:tc>
          <w:tcPr>
            <w:tcW w:w="3093" w:type="dxa"/>
            <w:vMerge w:val="continue"/>
            <w:noWrap w:val="0"/>
            <w:vAlign w:val="top"/>
          </w:tcPr>
          <w:p>
            <w:pPr>
              <w:spacing w:line="30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590" w:type="dxa"/>
            <w:vMerge w:val="restart"/>
            <w:noWrap w:val="0"/>
            <w:vAlign w:val="top"/>
          </w:tcPr>
          <w:p>
            <w:pPr>
              <w:spacing w:line="300" w:lineRule="auto"/>
              <w:jc w:val="left"/>
              <w:rPr>
                <w:rFonts w:hint="eastAsia"/>
                <w:b/>
                <w:bCs/>
              </w:rPr>
            </w:pPr>
            <w:r>
              <w:rPr>
                <w:rFonts w:hint="eastAsia"/>
                <w:b/>
                <w:bCs/>
              </w:rPr>
              <w:t>学术著作</w:t>
            </w:r>
          </w:p>
          <w:p>
            <w:pPr>
              <w:spacing w:line="300" w:lineRule="auto"/>
              <w:jc w:val="left"/>
              <w:rPr>
                <w:rFonts w:hint="eastAsia"/>
                <w:b/>
                <w:bCs/>
              </w:rPr>
            </w:pPr>
          </w:p>
        </w:tc>
        <w:tc>
          <w:tcPr>
            <w:tcW w:w="3890" w:type="dxa"/>
            <w:gridSpan w:val="2"/>
            <w:noWrap w:val="0"/>
            <w:vAlign w:val="center"/>
          </w:tcPr>
          <w:p>
            <w:pPr>
              <w:spacing w:before="124" w:beforeLines="40" w:after="124" w:afterLines="40"/>
              <w:jc w:val="left"/>
              <w:rPr>
                <w:rFonts w:hint="eastAsia"/>
                <w:szCs w:val="22"/>
              </w:rPr>
            </w:pPr>
            <w:r>
              <w:rPr>
                <w:rFonts w:hint="eastAsia"/>
                <w:szCs w:val="22"/>
              </w:rPr>
              <w:t>独自出版学术著作</w:t>
            </w:r>
          </w:p>
        </w:tc>
        <w:tc>
          <w:tcPr>
            <w:tcW w:w="2067" w:type="dxa"/>
            <w:noWrap w:val="0"/>
            <w:vAlign w:val="center"/>
          </w:tcPr>
          <w:p>
            <w:pPr>
              <w:spacing w:before="124" w:beforeLines="40" w:after="124" w:afterLines="40"/>
              <w:jc w:val="left"/>
              <w:rPr>
                <w:rFonts w:hint="eastAsia"/>
                <w:szCs w:val="22"/>
              </w:rPr>
            </w:pPr>
            <w:r>
              <w:rPr>
                <w:rFonts w:hint="eastAsia"/>
                <w:szCs w:val="22"/>
              </w:rPr>
              <w:t>40分/部</w:t>
            </w:r>
          </w:p>
        </w:tc>
        <w:tc>
          <w:tcPr>
            <w:tcW w:w="3093" w:type="dxa"/>
            <w:vMerge w:val="restart"/>
            <w:noWrap w:val="0"/>
            <w:vAlign w:val="top"/>
          </w:tcPr>
          <w:p>
            <w:pPr>
              <w:numPr>
                <w:ilvl w:val="0"/>
                <w:numId w:val="1"/>
              </w:numPr>
              <w:spacing w:line="300" w:lineRule="auto"/>
              <w:rPr>
                <w:rFonts w:hint="eastAsia"/>
              </w:rPr>
            </w:pPr>
            <w:r>
              <w:rPr>
                <w:rFonts w:hint="eastAsia"/>
              </w:rPr>
              <w:t>著作、译著和教材必须出版公开发行后（有刊号）才能加分。</w:t>
            </w:r>
          </w:p>
          <w:p>
            <w:pPr>
              <w:numPr>
                <w:ilvl w:val="0"/>
                <w:numId w:val="1"/>
              </w:numPr>
              <w:spacing w:line="300" w:lineRule="auto"/>
              <w:rPr>
                <w:rFonts w:hint="eastAsia"/>
              </w:rPr>
            </w:pPr>
            <w:r>
              <w:rPr>
                <w:rFonts w:hint="eastAsia" w:ascii="宋体" w:hAnsi="宋体" w:cs="宋体"/>
                <w:color w:val="000000"/>
              </w:rPr>
              <w:t>译著以译文的字数进行统计。</w:t>
            </w:r>
          </w:p>
          <w:p>
            <w:pPr>
              <w:numPr>
                <w:ilvl w:val="0"/>
                <w:numId w:val="1"/>
              </w:numPr>
              <w:spacing w:line="300" w:lineRule="auto"/>
              <w:rPr>
                <w:rFonts w:hint="eastAsia"/>
              </w:rPr>
            </w:pPr>
            <w:r>
              <w:rPr>
                <w:rFonts w:hint="eastAsia"/>
              </w:rPr>
              <w:t>1万字以下的成果酌情加分。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590" w:type="dxa"/>
            <w:vMerge w:val="continue"/>
            <w:noWrap w:val="0"/>
            <w:vAlign w:val="top"/>
          </w:tcPr>
          <w:p>
            <w:pPr>
              <w:spacing w:line="300" w:lineRule="auto"/>
              <w:jc w:val="left"/>
              <w:rPr>
                <w:rFonts w:hint="eastAsia"/>
                <w:b/>
                <w:bCs/>
              </w:rPr>
            </w:pPr>
          </w:p>
        </w:tc>
        <w:tc>
          <w:tcPr>
            <w:tcW w:w="3890" w:type="dxa"/>
            <w:gridSpan w:val="2"/>
            <w:noWrap w:val="0"/>
            <w:vAlign w:val="center"/>
          </w:tcPr>
          <w:p>
            <w:pPr>
              <w:spacing w:before="124" w:beforeLines="40" w:after="124" w:afterLines="40"/>
              <w:jc w:val="left"/>
              <w:rPr>
                <w:rFonts w:hint="eastAsia"/>
                <w:szCs w:val="22"/>
              </w:rPr>
            </w:pPr>
            <w:r>
              <w:rPr>
                <w:rFonts w:hint="eastAsia"/>
                <w:szCs w:val="22"/>
              </w:rPr>
              <w:t>独自出版学术译著</w:t>
            </w:r>
          </w:p>
        </w:tc>
        <w:tc>
          <w:tcPr>
            <w:tcW w:w="2067" w:type="dxa"/>
            <w:noWrap w:val="0"/>
            <w:vAlign w:val="center"/>
          </w:tcPr>
          <w:p>
            <w:pPr>
              <w:spacing w:before="124" w:beforeLines="40" w:after="124" w:afterLines="40"/>
              <w:jc w:val="left"/>
              <w:rPr>
                <w:rFonts w:hint="eastAsia"/>
                <w:szCs w:val="22"/>
              </w:rPr>
            </w:pPr>
            <w:r>
              <w:rPr>
                <w:rFonts w:hint="eastAsia"/>
                <w:szCs w:val="22"/>
              </w:rPr>
              <w:t>30分/部</w:t>
            </w:r>
          </w:p>
        </w:tc>
        <w:tc>
          <w:tcPr>
            <w:tcW w:w="3093" w:type="dxa"/>
            <w:vMerge w:val="continue"/>
            <w:noWrap w:val="0"/>
            <w:vAlign w:val="top"/>
          </w:tcPr>
          <w:p>
            <w:pPr>
              <w:spacing w:line="30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rPr>
        <w:tc>
          <w:tcPr>
            <w:tcW w:w="590" w:type="dxa"/>
            <w:vMerge w:val="continue"/>
            <w:noWrap w:val="0"/>
            <w:vAlign w:val="top"/>
          </w:tcPr>
          <w:p>
            <w:pPr>
              <w:spacing w:line="300" w:lineRule="auto"/>
              <w:jc w:val="left"/>
              <w:rPr>
                <w:rFonts w:hint="eastAsia"/>
                <w:b/>
                <w:bCs/>
              </w:rPr>
            </w:pPr>
          </w:p>
        </w:tc>
        <w:tc>
          <w:tcPr>
            <w:tcW w:w="3890" w:type="dxa"/>
            <w:gridSpan w:val="2"/>
            <w:noWrap w:val="0"/>
            <w:vAlign w:val="center"/>
          </w:tcPr>
          <w:p>
            <w:pPr>
              <w:spacing w:before="124" w:beforeLines="40" w:after="124" w:afterLines="40"/>
              <w:jc w:val="left"/>
              <w:rPr>
                <w:rFonts w:hint="eastAsia"/>
                <w:highlight w:val="none"/>
              </w:rPr>
            </w:pPr>
            <w:r>
              <w:rPr>
                <w:rFonts w:hint="eastAsia"/>
                <w:highlight w:val="none"/>
              </w:rPr>
              <w:t>参加学术著作撰写</w:t>
            </w:r>
          </w:p>
        </w:tc>
        <w:tc>
          <w:tcPr>
            <w:tcW w:w="2067" w:type="dxa"/>
            <w:noWrap w:val="0"/>
            <w:vAlign w:val="center"/>
          </w:tcPr>
          <w:p>
            <w:pPr>
              <w:spacing w:before="124" w:beforeLines="40" w:after="124" w:afterLines="40"/>
              <w:rPr>
                <w:rFonts w:hint="eastAsia"/>
                <w:highlight w:val="none"/>
              </w:rPr>
            </w:pPr>
            <w:r>
              <w:rPr>
                <w:rFonts w:hint="eastAsia"/>
                <w:highlight w:val="none"/>
              </w:rPr>
              <w:t>2分/万字</w:t>
            </w:r>
          </w:p>
        </w:tc>
        <w:tc>
          <w:tcPr>
            <w:tcW w:w="3093" w:type="dxa"/>
            <w:vMerge w:val="continue"/>
            <w:noWrap w:val="0"/>
            <w:vAlign w:val="top"/>
          </w:tcPr>
          <w:p>
            <w:pPr>
              <w:spacing w:line="30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590" w:type="dxa"/>
            <w:vMerge w:val="continue"/>
            <w:noWrap w:val="0"/>
            <w:vAlign w:val="top"/>
          </w:tcPr>
          <w:p>
            <w:pPr>
              <w:spacing w:line="300" w:lineRule="auto"/>
              <w:jc w:val="left"/>
              <w:rPr>
                <w:rFonts w:hint="eastAsia"/>
                <w:b/>
                <w:bCs/>
              </w:rPr>
            </w:pPr>
          </w:p>
        </w:tc>
        <w:tc>
          <w:tcPr>
            <w:tcW w:w="3890" w:type="dxa"/>
            <w:gridSpan w:val="2"/>
            <w:noWrap w:val="0"/>
            <w:vAlign w:val="center"/>
          </w:tcPr>
          <w:p>
            <w:pPr>
              <w:spacing w:before="124" w:beforeLines="40" w:after="124" w:afterLines="40"/>
              <w:jc w:val="left"/>
              <w:rPr>
                <w:rFonts w:hint="eastAsia"/>
                <w:highlight w:val="none"/>
              </w:rPr>
            </w:pPr>
            <w:r>
              <w:rPr>
                <w:rFonts w:hint="eastAsia"/>
                <w:highlight w:val="none"/>
              </w:rPr>
              <w:t>翻译学术著作</w:t>
            </w:r>
          </w:p>
        </w:tc>
        <w:tc>
          <w:tcPr>
            <w:tcW w:w="2067" w:type="dxa"/>
            <w:noWrap w:val="0"/>
            <w:vAlign w:val="center"/>
          </w:tcPr>
          <w:p>
            <w:pPr>
              <w:spacing w:before="124" w:beforeLines="40" w:after="124" w:afterLines="40"/>
              <w:rPr>
                <w:rFonts w:hint="eastAsia"/>
                <w:highlight w:val="none"/>
              </w:rPr>
            </w:pPr>
            <w:r>
              <w:rPr>
                <w:rFonts w:hint="eastAsia"/>
                <w:highlight w:val="none"/>
              </w:rPr>
              <w:t>1.5分/万字</w:t>
            </w:r>
          </w:p>
        </w:tc>
        <w:tc>
          <w:tcPr>
            <w:tcW w:w="3093" w:type="dxa"/>
            <w:vMerge w:val="continue"/>
            <w:noWrap w:val="0"/>
            <w:vAlign w:val="top"/>
          </w:tcPr>
          <w:p>
            <w:pPr>
              <w:spacing w:line="30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590" w:type="dxa"/>
            <w:vMerge w:val="continue"/>
            <w:noWrap w:val="0"/>
            <w:vAlign w:val="top"/>
          </w:tcPr>
          <w:p>
            <w:pPr>
              <w:spacing w:line="300" w:lineRule="auto"/>
              <w:jc w:val="left"/>
              <w:rPr>
                <w:rFonts w:hint="eastAsia"/>
                <w:b/>
                <w:bCs/>
              </w:rPr>
            </w:pPr>
          </w:p>
        </w:tc>
        <w:tc>
          <w:tcPr>
            <w:tcW w:w="3890" w:type="dxa"/>
            <w:gridSpan w:val="2"/>
            <w:noWrap w:val="0"/>
            <w:vAlign w:val="center"/>
          </w:tcPr>
          <w:p>
            <w:pPr>
              <w:spacing w:before="124" w:beforeLines="40" w:after="124" w:afterLines="40"/>
              <w:jc w:val="left"/>
              <w:rPr>
                <w:rFonts w:hint="eastAsia"/>
                <w:highlight w:val="none"/>
              </w:rPr>
            </w:pPr>
            <w:r>
              <w:rPr>
                <w:rFonts w:hint="eastAsia"/>
                <w:highlight w:val="none"/>
              </w:rPr>
              <w:t>参编教材或法律法规汇编</w:t>
            </w:r>
          </w:p>
        </w:tc>
        <w:tc>
          <w:tcPr>
            <w:tcW w:w="2067" w:type="dxa"/>
            <w:noWrap w:val="0"/>
            <w:vAlign w:val="center"/>
          </w:tcPr>
          <w:p>
            <w:pPr>
              <w:spacing w:before="124" w:beforeLines="40" w:after="124" w:afterLines="40"/>
              <w:rPr>
                <w:rFonts w:hint="eastAsia"/>
                <w:highlight w:val="none"/>
              </w:rPr>
            </w:pPr>
            <w:r>
              <w:rPr>
                <w:rFonts w:hint="eastAsia"/>
                <w:highlight w:val="none"/>
              </w:rPr>
              <w:t>1分/万字</w:t>
            </w:r>
          </w:p>
        </w:tc>
        <w:tc>
          <w:tcPr>
            <w:tcW w:w="3093" w:type="dxa"/>
            <w:vMerge w:val="continue"/>
            <w:noWrap w:val="0"/>
            <w:vAlign w:val="top"/>
          </w:tcPr>
          <w:p>
            <w:pPr>
              <w:spacing w:line="30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590" w:type="dxa"/>
            <w:vMerge w:val="restart"/>
            <w:noWrap w:val="0"/>
            <w:vAlign w:val="center"/>
          </w:tcPr>
          <w:p>
            <w:pPr>
              <w:spacing w:line="300" w:lineRule="auto"/>
              <w:ind w:right="105"/>
              <w:jc w:val="right"/>
              <w:rPr>
                <w:rFonts w:hint="eastAsia"/>
                <w:b/>
                <w:bCs/>
              </w:rPr>
            </w:pPr>
            <w:r>
              <w:rPr>
                <w:rFonts w:hint="eastAsia"/>
                <w:b/>
                <w:bCs/>
              </w:rPr>
              <w:t>科研课题加分</w:t>
            </w:r>
          </w:p>
        </w:tc>
        <w:tc>
          <w:tcPr>
            <w:tcW w:w="1395" w:type="dxa"/>
            <w:vMerge w:val="restart"/>
            <w:noWrap w:val="0"/>
            <w:tcMar>
              <w:top w:w="57" w:type="dxa"/>
            </w:tcMar>
            <w:vAlign w:val="center"/>
          </w:tcPr>
          <w:p>
            <w:pPr>
              <w:spacing w:before="124" w:beforeLines="40" w:after="124" w:afterLines="40"/>
              <w:rPr>
                <w:rFonts w:hint="eastAsia"/>
              </w:rPr>
            </w:pPr>
            <w:r>
              <w:rPr>
                <w:rFonts w:hint="eastAsia"/>
              </w:rPr>
              <w:t>主持科研项目</w:t>
            </w:r>
          </w:p>
        </w:tc>
        <w:tc>
          <w:tcPr>
            <w:tcW w:w="2495" w:type="dxa"/>
            <w:noWrap w:val="0"/>
            <w:vAlign w:val="center"/>
          </w:tcPr>
          <w:p>
            <w:pPr>
              <w:spacing w:before="124" w:beforeLines="40" w:after="124" w:afterLines="40"/>
              <w:rPr>
                <w:rFonts w:hint="eastAsia"/>
              </w:rPr>
            </w:pPr>
            <w:r>
              <w:rPr>
                <w:rFonts w:hint="eastAsia"/>
              </w:rPr>
              <w:t>国家级课题</w:t>
            </w:r>
          </w:p>
        </w:tc>
        <w:tc>
          <w:tcPr>
            <w:tcW w:w="2067" w:type="dxa"/>
            <w:noWrap w:val="0"/>
            <w:vAlign w:val="center"/>
          </w:tcPr>
          <w:p>
            <w:pPr>
              <w:spacing w:before="124" w:beforeLines="40" w:after="124" w:afterLines="40"/>
              <w:rPr>
                <w:rFonts w:hint="eastAsia"/>
              </w:rPr>
            </w:pPr>
            <w:r>
              <w:rPr>
                <w:rFonts w:hint="eastAsia"/>
              </w:rPr>
              <w:t>40分/项</w:t>
            </w:r>
          </w:p>
        </w:tc>
        <w:tc>
          <w:tcPr>
            <w:tcW w:w="3093" w:type="dxa"/>
            <w:vMerge w:val="restart"/>
            <w:noWrap w:val="0"/>
            <w:vAlign w:val="top"/>
          </w:tcPr>
          <w:p>
            <w:pPr>
              <w:spacing w:line="300" w:lineRule="auto"/>
              <w:rPr>
                <w:rFonts w:hint="eastAsia"/>
                <w:szCs w:val="22"/>
              </w:rPr>
            </w:pPr>
            <w:r>
              <w:rPr>
                <w:rFonts w:hint="eastAsia"/>
                <w:szCs w:val="22"/>
              </w:rPr>
              <w:t>1.项目的结项时间在评奖年度才可加分。</w:t>
            </w:r>
          </w:p>
          <w:p>
            <w:pPr>
              <w:spacing w:line="300" w:lineRule="auto"/>
              <w:rPr>
                <w:rFonts w:hint="eastAsia"/>
                <w:szCs w:val="22"/>
              </w:rPr>
            </w:pPr>
            <w:r>
              <w:rPr>
                <w:rFonts w:hint="eastAsia"/>
                <w:szCs w:val="22"/>
              </w:rPr>
              <w:t>2.参与人的名字须出现在课题组名单中，且课题参与人须提交材料包括：立项书、结项报告或科研成果、结项书等复印件。</w:t>
            </w:r>
          </w:p>
          <w:p>
            <w:pPr>
              <w:spacing w:line="300" w:lineRule="auto"/>
              <w:rPr>
                <w:rFonts w:hint="eastAsia"/>
                <w:color w:val="FF0000"/>
              </w:rPr>
            </w:pPr>
            <w:r>
              <w:rPr>
                <w:rFonts w:hint="eastAsia"/>
                <w:szCs w:val="22"/>
              </w:rPr>
              <w:t>3.横向课题是指政府机关或企事业单位的委托课题，按照校级课题标准计分。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590" w:type="dxa"/>
            <w:vMerge w:val="continue"/>
            <w:noWrap w:val="0"/>
            <w:vAlign w:val="top"/>
          </w:tcPr>
          <w:p>
            <w:pPr>
              <w:spacing w:line="300" w:lineRule="auto"/>
              <w:ind w:right="420"/>
              <w:rPr>
                <w:rFonts w:hint="eastAsia"/>
              </w:rPr>
            </w:pPr>
          </w:p>
        </w:tc>
        <w:tc>
          <w:tcPr>
            <w:tcW w:w="1395" w:type="dxa"/>
            <w:vMerge w:val="continue"/>
            <w:noWrap w:val="0"/>
            <w:tcMar>
              <w:top w:w="57" w:type="dxa"/>
            </w:tcMar>
            <w:vAlign w:val="center"/>
          </w:tcPr>
          <w:p>
            <w:pPr>
              <w:spacing w:before="124" w:beforeLines="40" w:after="124" w:afterLines="40"/>
              <w:rPr>
                <w:rFonts w:hint="eastAsia"/>
              </w:rPr>
            </w:pPr>
          </w:p>
        </w:tc>
        <w:tc>
          <w:tcPr>
            <w:tcW w:w="2495" w:type="dxa"/>
            <w:noWrap w:val="0"/>
            <w:vAlign w:val="center"/>
          </w:tcPr>
          <w:p>
            <w:pPr>
              <w:spacing w:before="124" w:beforeLines="40" w:after="124" w:afterLines="40"/>
              <w:rPr>
                <w:rFonts w:hint="eastAsia"/>
              </w:rPr>
            </w:pPr>
            <w:r>
              <w:rPr>
                <w:rFonts w:hint="eastAsia"/>
              </w:rPr>
              <w:t>省部级课题</w:t>
            </w:r>
          </w:p>
        </w:tc>
        <w:tc>
          <w:tcPr>
            <w:tcW w:w="2067" w:type="dxa"/>
            <w:noWrap w:val="0"/>
            <w:vAlign w:val="center"/>
          </w:tcPr>
          <w:p>
            <w:pPr>
              <w:spacing w:before="124" w:beforeLines="40" w:after="124" w:afterLines="40"/>
              <w:rPr>
                <w:rFonts w:hint="eastAsia"/>
              </w:rPr>
            </w:pPr>
            <w:r>
              <w:rPr>
                <w:rFonts w:hint="eastAsia"/>
              </w:rPr>
              <w:t>25分/项</w:t>
            </w:r>
          </w:p>
        </w:tc>
        <w:tc>
          <w:tcPr>
            <w:tcW w:w="3093" w:type="dxa"/>
            <w:vMerge w:val="continue"/>
            <w:noWrap w:val="0"/>
            <w:vAlign w:val="top"/>
          </w:tcPr>
          <w:p>
            <w:pPr>
              <w:spacing w:line="30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90" w:type="dxa"/>
            <w:vMerge w:val="continue"/>
            <w:noWrap w:val="0"/>
            <w:vAlign w:val="top"/>
          </w:tcPr>
          <w:p>
            <w:pPr>
              <w:spacing w:line="300" w:lineRule="auto"/>
              <w:jc w:val="right"/>
              <w:rPr>
                <w:rFonts w:hint="eastAsia"/>
              </w:rPr>
            </w:pPr>
          </w:p>
        </w:tc>
        <w:tc>
          <w:tcPr>
            <w:tcW w:w="1395" w:type="dxa"/>
            <w:vMerge w:val="continue"/>
            <w:noWrap w:val="0"/>
            <w:tcMar>
              <w:top w:w="57" w:type="dxa"/>
            </w:tcMar>
            <w:vAlign w:val="center"/>
          </w:tcPr>
          <w:p>
            <w:pPr>
              <w:spacing w:before="124" w:beforeLines="40" w:after="124" w:afterLines="40"/>
              <w:rPr>
                <w:rFonts w:hint="eastAsia"/>
              </w:rPr>
            </w:pPr>
          </w:p>
        </w:tc>
        <w:tc>
          <w:tcPr>
            <w:tcW w:w="2495" w:type="dxa"/>
            <w:noWrap w:val="0"/>
            <w:vAlign w:val="center"/>
          </w:tcPr>
          <w:p>
            <w:pPr>
              <w:spacing w:before="124" w:beforeLines="40" w:after="124" w:afterLines="40"/>
              <w:rPr>
                <w:rFonts w:hint="eastAsia"/>
              </w:rPr>
            </w:pPr>
            <w:r>
              <w:rPr>
                <w:rFonts w:hint="eastAsia"/>
              </w:rPr>
              <w:t>横向课题</w:t>
            </w:r>
          </w:p>
        </w:tc>
        <w:tc>
          <w:tcPr>
            <w:tcW w:w="2067" w:type="dxa"/>
            <w:noWrap w:val="0"/>
            <w:vAlign w:val="center"/>
          </w:tcPr>
          <w:p>
            <w:pPr>
              <w:spacing w:before="124" w:beforeLines="40" w:after="124" w:afterLines="40"/>
              <w:rPr>
                <w:rFonts w:hint="eastAsia"/>
              </w:rPr>
            </w:pPr>
            <w:r>
              <w:rPr>
                <w:rFonts w:hint="eastAsia"/>
              </w:rPr>
              <w:t>10分/项</w:t>
            </w:r>
          </w:p>
        </w:tc>
        <w:tc>
          <w:tcPr>
            <w:tcW w:w="3093" w:type="dxa"/>
            <w:vMerge w:val="continue"/>
            <w:noWrap w:val="0"/>
            <w:vAlign w:val="top"/>
          </w:tcPr>
          <w:p>
            <w:pPr>
              <w:spacing w:line="30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590" w:type="dxa"/>
            <w:vMerge w:val="continue"/>
            <w:noWrap w:val="0"/>
            <w:vAlign w:val="top"/>
          </w:tcPr>
          <w:p>
            <w:pPr>
              <w:spacing w:line="300" w:lineRule="auto"/>
              <w:jc w:val="right"/>
              <w:rPr>
                <w:rFonts w:hint="eastAsia"/>
              </w:rPr>
            </w:pPr>
          </w:p>
        </w:tc>
        <w:tc>
          <w:tcPr>
            <w:tcW w:w="1395" w:type="dxa"/>
            <w:vMerge w:val="continue"/>
            <w:noWrap w:val="0"/>
            <w:tcMar>
              <w:top w:w="57" w:type="dxa"/>
            </w:tcMar>
            <w:vAlign w:val="center"/>
          </w:tcPr>
          <w:p>
            <w:pPr>
              <w:spacing w:before="124" w:beforeLines="40" w:after="124" w:afterLines="40"/>
              <w:rPr>
                <w:rFonts w:hint="eastAsia"/>
              </w:rPr>
            </w:pPr>
          </w:p>
        </w:tc>
        <w:tc>
          <w:tcPr>
            <w:tcW w:w="2495" w:type="dxa"/>
            <w:noWrap w:val="0"/>
            <w:vAlign w:val="center"/>
          </w:tcPr>
          <w:p>
            <w:pPr>
              <w:spacing w:before="124" w:beforeLines="40" w:after="124" w:afterLines="40"/>
              <w:rPr>
                <w:rFonts w:hint="eastAsia"/>
              </w:rPr>
            </w:pPr>
            <w:r>
              <w:rPr>
                <w:rFonts w:hint="eastAsia"/>
              </w:rPr>
              <w:t>校级课题</w:t>
            </w:r>
          </w:p>
        </w:tc>
        <w:tc>
          <w:tcPr>
            <w:tcW w:w="2067" w:type="dxa"/>
            <w:noWrap w:val="0"/>
            <w:vAlign w:val="center"/>
          </w:tcPr>
          <w:p>
            <w:pPr>
              <w:spacing w:before="124" w:beforeLines="40" w:after="124" w:afterLines="40"/>
              <w:rPr>
                <w:rFonts w:hint="eastAsia"/>
              </w:rPr>
            </w:pPr>
            <w:r>
              <w:rPr>
                <w:rFonts w:hint="eastAsia"/>
              </w:rPr>
              <w:t>10分/项</w:t>
            </w:r>
          </w:p>
        </w:tc>
        <w:tc>
          <w:tcPr>
            <w:tcW w:w="3093" w:type="dxa"/>
            <w:vMerge w:val="continue"/>
            <w:noWrap w:val="0"/>
            <w:vAlign w:val="top"/>
          </w:tcPr>
          <w:p>
            <w:pPr>
              <w:spacing w:line="30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590" w:type="dxa"/>
            <w:vMerge w:val="continue"/>
            <w:noWrap w:val="0"/>
            <w:vAlign w:val="top"/>
          </w:tcPr>
          <w:p>
            <w:pPr>
              <w:spacing w:line="300" w:lineRule="auto"/>
              <w:ind w:right="420"/>
              <w:rPr>
                <w:rFonts w:hint="eastAsia"/>
              </w:rPr>
            </w:pPr>
          </w:p>
        </w:tc>
        <w:tc>
          <w:tcPr>
            <w:tcW w:w="1395" w:type="dxa"/>
            <w:vMerge w:val="restart"/>
            <w:noWrap w:val="0"/>
            <w:tcMar>
              <w:top w:w="57" w:type="dxa"/>
            </w:tcMar>
            <w:vAlign w:val="center"/>
          </w:tcPr>
          <w:p>
            <w:pPr>
              <w:spacing w:before="124" w:beforeLines="40" w:after="124" w:afterLines="40"/>
              <w:rPr>
                <w:rFonts w:hint="eastAsia"/>
              </w:rPr>
            </w:pPr>
            <w:r>
              <w:rPr>
                <w:rFonts w:hint="eastAsia"/>
              </w:rPr>
              <w:t>参与科研项目</w:t>
            </w:r>
          </w:p>
        </w:tc>
        <w:tc>
          <w:tcPr>
            <w:tcW w:w="2495" w:type="dxa"/>
            <w:noWrap w:val="0"/>
            <w:vAlign w:val="center"/>
          </w:tcPr>
          <w:p>
            <w:pPr>
              <w:spacing w:before="124" w:beforeLines="40" w:after="124" w:afterLines="40"/>
              <w:rPr>
                <w:rFonts w:hint="eastAsia"/>
              </w:rPr>
            </w:pPr>
            <w:r>
              <w:rPr>
                <w:rFonts w:hint="eastAsia"/>
              </w:rPr>
              <w:t>国家级课题</w:t>
            </w:r>
          </w:p>
        </w:tc>
        <w:tc>
          <w:tcPr>
            <w:tcW w:w="2067" w:type="dxa"/>
            <w:noWrap w:val="0"/>
            <w:vAlign w:val="center"/>
          </w:tcPr>
          <w:p>
            <w:pPr>
              <w:spacing w:before="124" w:beforeLines="40" w:after="124" w:afterLines="40"/>
              <w:rPr>
                <w:rFonts w:hint="eastAsia"/>
              </w:rPr>
            </w:pPr>
            <w:r>
              <w:rPr>
                <w:rFonts w:hint="eastAsia"/>
              </w:rPr>
              <w:t>15分/项</w:t>
            </w:r>
          </w:p>
        </w:tc>
        <w:tc>
          <w:tcPr>
            <w:tcW w:w="3093" w:type="dxa"/>
            <w:vMerge w:val="continue"/>
            <w:noWrap w:val="0"/>
            <w:vAlign w:val="top"/>
          </w:tcPr>
          <w:p>
            <w:pPr>
              <w:spacing w:line="30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590" w:type="dxa"/>
            <w:vMerge w:val="continue"/>
            <w:noWrap w:val="0"/>
            <w:vAlign w:val="top"/>
          </w:tcPr>
          <w:p>
            <w:pPr>
              <w:spacing w:line="300" w:lineRule="auto"/>
              <w:ind w:right="420"/>
              <w:rPr>
                <w:rFonts w:hint="eastAsia"/>
              </w:rPr>
            </w:pPr>
          </w:p>
        </w:tc>
        <w:tc>
          <w:tcPr>
            <w:tcW w:w="1395" w:type="dxa"/>
            <w:vMerge w:val="continue"/>
            <w:noWrap w:val="0"/>
            <w:tcMar>
              <w:top w:w="57" w:type="dxa"/>
            </w:tcMar>
            <w:vAlign w:val="center"/>
          </w:tcPr>
          <w:p>
            <w:pPr>
              <w:spacing w:before="124" w:beforeLines="40" w:after="124" w:afterLines="40"/>
              <w:rPr>
                <w:rFonts w:hint="eastAsia"/>
              </w:rPr>
            </w:pPr>
          </w:p>
        </w:tc>
        <w:tc>
          <w:tcPr>
            <w:tcW w:w="2495" w:type="dxa"/>
            <w:noWrap w:val="0"/>
            <w:vAlign w:val="center"/>
          </w:tcPr>
          <w:p>
            <w:pPr>
              <w:spacing w:before="124" w:beforeLines="40" w:after="124" w:afterLines="40"/>
              <w:rPr>
                <w:rFonts w:hint="eastAsia"/>
              </w:rPr>
            </w:pPr>
            <w:r>
              <w:rPr>
                <w:rFonts w:hint="eastAsia"/>
              </w:rPr>
              <w:t>省部级课题</w:t>
            </w:r>
          </w:p>
        </w:tc>
        <w:tc>
          <w:tcPr>
            <w:tcW w:w="2067" w:type="dxa"/>
            <w:noWrap w:val="0"/>
            <w:vAlign w:val="center"/>
          </w:tcPr>
          <w:p>
            <w:pPr>
              <w:spacing w:before="124" w:beforeLines="40" w:after="124" w:afterLines="40"/>
              <w:rPr>
                <w:rFonts w:hint="eastAsia"/>
              </w:rPr>
            </w:pPr>
            <w:r>
              <w:rPr>
                <w:rFonts w:hint="eastAsia"/>
              </w:rPr>
              <w:t>10分/项</w:t>
            </w:r>
          </w:p>
        </w:tc>
        <w:tc>
          <w:tcPr>
            <w:tcW w:w="3093" w:type="dxa"/>
            <w:vMerge w:val="continue"/>
            <w:noWrap w:val="0"/>
            <w:vAlign w:val="top"/>
          </w:tcPr>
          <w:p>
            <w:pPr>
              <w:spacing w:line="30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590" w:type="dxa"/>
            <w:vMerge w:val="continue"/>
            <w:noWrap w:val="0"/>
            <w:vAlign w:val="top"/>
          </w:tcPr>
          <w:p>
            <w:pPr>
              <w:spacing w:line="300" w:lineRule="auto"/>
              <w:ind w:right="420"/>
              <w:rPr>
                <w:rFonts w:hint="eastAsia"/>
              </w:rPr>
            </w:pPr>
          </w:p>
        </w:tc>
        <w:tc>
          <w:tcPr>
            <w:tcW w:w="1395" w:type="dxa"/>
            <w:vMerge w:val="continue"/>
            <w:noWrap w:val="0"/>
            <w:tcMar>
              <w:top w:w="57" w:type="dxa"/>
            </w:tcMar>
            <w:vAlign w:val="center"/>
          </w:tcPr>
          <w:p>
            <w:pPr>
              <w:spacing w:before="124" w:beforeLines="40" w:after="124" w:afterLines="40"/>
              <w:rPr>
                <w:rFonts w:hint="eastAsia"/>
              </w:rPr>
            </w:pPr>
          </w:p>
        </w:tc>
        <w:tc>
          <w:tcPr>
            <w:tcW w:w="2495" w:type="dxa"/>
            <w:noWrap w:val="0"/>
            <w:vAlign w:val="center"/>
          </w:tcPr>
          <w:p>
            <w:pPr>
              <w:spacing w:before="124" w:beforeLines="40" w:after="124" w:afterLines="40"/>
              <w:rPr>
                <w:rFonts w:hint="eastAsia"/>
              </w:rPr>
            </w:pPr>
            <w:r>
              <w:rPr>
                <w:rFonts w:hint="eastAsia"/>
              </w:rPr>
              <w:t>横向课题</w:t>
            </w:r>
          </w:p>
        </w:tc>
        <w:tc>
          <w:tcPr>
            <w:tcW w:w="2067" w:type="dxa"/>
            <w:noWrap w:val="0"/>
            <w:vAlign w:val="center"/>
          </w:tcPr>
          <w:p>
            <w:pPr>
              <w:spacing w:before="124" w:beforeLines="40" w:after="124" w:afterLines="40"/>
              <w:rPr>
                <w:rFonts w:hint="eastAsia"/>
              </w:rPr>
            </w:pPr>
            <w:r>
              <w:rPr>
                <w:rFonts w:hint="eastAsia"/>
              </w:rPr>
              <w:t>5分/项（限3项）</w:t>
            </w:r>
          </w:p>
        </w:tc>
        <w:tc>
          <w:tcPr>
            <w:tcW w:w="3093" w:type="dxa"/>
            <w:vMerge w:val="continue"/>
            <w:noWrap w:val="0"/>
            <w:vAlign w:val="top"/>
          </w:tcPr>
          <w:p>
            <w:pPr>
              <w:spacing w:line="30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590" w:type="dxa"/>
            <w:vMerge w:val="continue"/>
            <w:noWrap w:val="0"/>
            <w:vAlign w:val="top"/>
          </w:tcPr>
          <w:p>
            <w:pPr>
              <w:spacing w:line="300" w:lineRule="auto"/>
              <w:ind w:right="420"/>
              <w:rPr>
                <w:rFonts w:hint="eastAsia"/>
              </w:rPr>
            </w:pPr>
          </w:p>
        </w:tc>
        <w:tc>
          <w:tcPr>
            <w:tcW w:w="1395" w:type="dxa"/>
            <w:vMerge w:val="continue"/>
            <w:noWrap w:val="0"/>
            <w:tcMar>
              <w:top w:w="57" w:type="dxa"/>
            </w:tcMar>
            <w:vAlign w:val="center"/>
          </w:tcPr>
          <w:p>
            <w:pPr>
              <w:spacing w:before="124" w:beforeLines="40" w:after="124" w:afterLines="40"/>
              <w:rPr>
                <w:rFonts w:hint="eastAsia"/>
              </w:rPr>
            </w:pPr>
          </w:p>
        </w:tc>
        <w:tc>
          <w:tcPr>
            <w:tcW w:w="2495" w:type="dxa"/>
            <w:noWrap w:val="0"/>
            <w:vAlign w:val="center"/>
          </w:tcPr>
          <w:p>
            <w:pPr>
              <w:spacing w:before="124" w:beforeLines="40" w:after="124" w:afterLines="40"/>
              <w:rPr>
                <w:rFonts w:hint="eastAsia"/>
              </w:rPr>
            </w:pPr>
            <w:r>
              <w:rPr>
                <w:rFonts w:hint="eastAsia"/>
              </w:rPr>
              <w:t>校级课题</w:t>
            </w:r>
          </w:p>
        </w:tc>
        <w:tc>
          <w:tcPr>
            <w:tcW w:w="2067" w:type="dxa"/>
            <w:noWrap w:val="0"/>
            <w:vAlign w:val="center"/>
          </w:tcPr>
          <w:p>
            <w:pPr>
              <w:spacing w:before="124" w:beforeLines="40" w:after="124" w:afterLines="40"/>
              <w:rPr>
                <w:rFonts w:hint="eastAsia"/>
              </w:rPr>
            </w:pPr>
            <w:r>
              <w:rPr>
                <w:rFonts w:hint="eastAsia"/>
              </w:rPr>
              <w:t>5分/项（限3项）</w:t>
            </w:r>
          </w:p>
        </w:tc>
        <w:tc>
          <w:tcPr>
            <w:tcW w:w="3093" w:type="dxa"/>
            <w:vMerge w:val="continue"/>
            <w:noWrap w:val="0"/>
            <w:vAlign w:val="top"/>
          </w:tcPr>
          <w:p>
            <w:pPr>
              <w:spacing w:line="30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90" w:type="dxa"/>
            <w:vMerge w:val="restart"/>
            <w:noWrap w:val="0"/>
            <w:vAlign w:val="top"/>
          </w:tcPr>
          <w:p>
            <w:pPr>
              <w:spacing w:line="300" w:lineRule="auto"/>
              <w:ind w:right="420"/>
              <w:rPr>
                <w:rFonts w:hint="eastAsia"/>
              </w:rPr>
            </w:pPr>
            <w:r>
              <w:rPr>
                <w:rFonts w:hint="eastAsia"/>
                <w:b/>
                <w:bCs/>
              </w:rPr>
              <w:t>科研获奖</w:t>
            </w:r>
          </w:p>
        </w:tc>
        <w:tc>
          <w:tcPr>
            <w:tcW w:w="1395" w:type="dxa"/>
            <w:noWrap w:val="0"/>
            <w:tcMar>
              <w:top w:w="57" w:type="dxa"/>
            </w:tcMar>
            <w:vAlign w:val="center"/>
          </w:tcPr>
          <w:p>
            <w:pPr>
              <w:spacing w:before="124" w:beforeLines="40" w:after="124" w:afterLines="40"/>
              <w:rPr>
                <w:rFonts w:hint="eastAsia"/>
              </w:rPr>
            </w:pPr>
            <w:r>
              <w:rPr>
                <w:rFonts w:hint="eastAsia"/>
              </w:rPr>
              <w:t>国家级优秀成果</w:t>
            </w:r>
          </w:p>
        </w:tc>
        <w:tc>
          <w:tcPr>
            <w:tcW w:w="2495" w:type="dxa"/>
            <w:noWrap w:val="0"/>
            <w:vAlign w:val="center"/>
          </w:tcPr>
          <w:p>
            <w:pPr>
              <w:spacing w:before="124" w:beforeLines="40" w:after="124" w:afterLines="40"/>
              <w:rPr>
                <w:rFonts w:hint="eastAsia"/>
              </w:rPr>
            </w:pPr>
            <w:r>
              <w:rPr>
                <w:rFonts w:hint="eastAsia"/>
              </w:rPr>
              <w:t>论文、专著、译著或教材获得国家级奖励</w:t>
            </w:r>
          </w:p>
        </w:tc>
        <w:tc>
          <w:tcPr>
            <w:tcW w:w="2067" w:type="dxa"/>
            <w:noWrap w:val="0"/>
            <w:vAlign w:val="center"/>
          </w:tcPr>
          <w:p>
            <w:pPr>
              <w:spacing w:before="124" w:beforeLines="40" w:after="124" w:afterLines="40"/>
              <w:jc w:val="center"/>
              <w:rPr>
                <w:rFonts w:hint="eastAsia"/>
              </w:rPr>
            </w:pPr>
            <w:r>
              <w:rPr>
                <w:rFonts w:hint="eastAsia"/>
              </w:rPr>
              <w:t>一等奖：40分/项</w:t>
            </w:r>
          </w:p>
          <w:p>
            <w:pPr>
              <w:spacing w:before="124" w:beforeLines="40" w:after="124" w:afterLines="40"/>
              <w:jc w:val="center"/>
              <w:rPr>
                <w:rFonts w:hint="eastAsia"/>
              </w:rPr>
            </w:pPr>
            <w:r>
              <w:rPr>
                <w:rFonts w:hint="eastAsia"/>
              </w:rPr>
              <w:t>二等奖：30分/项</w:t>
            </w:r>
          </w:p>
          <w:p>
            <w:pPr>
              <w:spacing w:before="124" w:beforeLines="40" w:after="124" w:afterLines="40"/>
              <w:jc w:val="center"/>
              <w:rPr>
                <w:rFonts w:hint="eastAsia"/>
              </w:rPr>
            </w:pPr>
            <w:r>
              <w:rPr>
                <w:rFonts w:hint="eastAsia"/>
              </w:rPr>
              <w:t>三等奖：20分/项</w:t>
            </w:r>
          </w:p>
          <w:p>
            <w:pPr>
              <w:spacing w:before="124" w:beforeLines="40" w:after="124" w:afterLines="40"/>
              <w:ind w:firstLine="210" w:firstLineChars="100"/>
              <w:rPr>
                <w:rFonts w:hint="eastAsia"/>
              </w:rPr>
            </w:pPr>
          </w:p>
        </w:tc>
        <w:tc>
          <w:tcPr>
            <w:tcW w:w="3093" w:type="dxa"/>
            <w:vMerge w:val="restart"/>
            <w:noWrap w:val="0"/>
            <w:vAlign w:val="top"/>
          </w:tcPr>
          <w:p>
            <w:pPr>
              <w:spacing w:line="300" w:lineRule="auto"/>
              <w:rPr>
                <w:rFonts w:hint="eastAsia"/>
              </w:rPr>
            </w:pPr>
            <w:r>
              <w:rPr>
                <w:rFonts w:hint="eastAsia"/>
              </w:rPr>
              <w:t>1.发表的论文或科研项目获奖，得分可以累加；</w:t>
            </w:r>
          </w:p>
          <w:p>
            <w:pPr>
              <w:spacing w:line="300" w:lineRule="auto"/>
              <w:rPr>
                <w:rFonts w:hint="eastAsia"/>
              </w:rPr>
            </w:pPr>
            <w:r>
              <w:rPr>
                <w:rFonts w:hint="eastAsia"/>
              </w:rPr>
              <w:t>2.第一作者、第二作者、第三作者得分比例为总得分的50%、30%、20%。</w:t>
            </w:r>
          </w:p>
          <w:p>
            <w:pPr>
              <w:numPr>
                <w:ilvl w:val="0"/>
                <w:numId w:val="2"/>
              </w:numPr>
              <w:spacing w:line="300" w:lineRule="auto"/>
              <w:rPr>
                <w:rFonts w:hint="eastAsia"/>
              </w:rPr>
            </w:pPr>
            <w:r>
              <w:rPr>
                <w:rFonts w:hint="eastAsia"/>
              </w:rPr>
              <w:t>主编、项目主持人参照第一作者比例执行加分，其他参照第三作者比例执行加分。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590" w:type="dxa"/>
            <w:vMerge w:val="continue"/>
            <w:noWrap w:val="0"/>
            <w:vAlign w:val="top"/>
          </w:tcPr>
          <w:p>
            <w:pPr>
              <w:spacing w:line="300" w:lineRule="auto"/>
              <w:ind w:right="420"/>
              <w:rPr>
                <w:rFonts w:hint="eastAsia"/>
              </w:rPr>
            </w:pPr>
          </w:p>
        </w:tc>
        <w:tc>
          <w:tcPr>
            <w:tcW w:w="1395" w:type="dxa"/>
            <w:noWrap w:val="0"/>
            <w:tcMar>
              <w:top w:w="57" w:type="dxa"/>
            </w:tcMar>
            <w:vAlign w:val="center"/>
          </w:tcPr>
          <w:p>
            <w:pPr>
              <w:spacing w:before="124" w:beforeLines="40" w:after="124" w:afterLines="40"/>
              <w:rPr>
                <w:rFonts w:hint="eastAsia"/>
              </w:rPr>
            </w:pPr>
            <w:r>
              <w:rPr>
                <w:rFonts w:hint="eastAsia"/>
              </w:rPr>
              <w:t>省部级优秀成果</w:t>
            </w:r>
          </w:p>
        </w:tc>
        <w:tc>
          <w:tcPr>
            <w:tcW w:w="2495" w:type="dxa"/>
            <w:noWrap w:val="0"/>
            <w:vAlign w:val="center"/>
          </w:tcPr>
          <w:p>
            <w:pPr>
              <w:spacing w:before="124" w:beforeLines="40" w:after="124" w:afterLines="40"/>
              <w:rPr>
                <w:rFonts w:hint="eastAsia"/>
              </w:rPr>
            </w:pPr>
            <w:r>
              <w:rPr>
                <w:rFonts w:hint="eastAsia"/>
              </w:rPr>
              <w:t>论文、专著、译著或教材获得省、部级奖励</w:t>
            </w:r>
          </w:p>
        </w:tc>
        <w:tc>
          <w:tcPr>
            <w:tcW w:w="2067" w:type="dxa"/>
            <w:noWrap w:val="0"/>
            <w:vAlign w:val="center"/>
          </w:tcPr>
          <w:p>
            <w:pPr>
              <w:spacing w:before="124" w:beforeLines="40" w:after="124" w:afterLines="40"/>
              <w:rPr>
                <w:rFonts w:hint="eastAsia"/>
              </w:rPr>
            </w:pPr>
            <w:r>
              <w:rPr>
                <w:rFonts w:hint="eastAsia"/>
              </w:rPr>
              <w:t>一等奖：30分/项</w:t>
            </w:r>
          </w:p>
          <w:p>
            <w:pPr>
              <w:spacing w:before="124" w:beforeLines="40" w:after="124" w:afterLines="40"/>
              <w:rPr>
                <w:rFonts w:hint="eastAsia"/>
              </w:rPr>
            </w:pPr>
            <w:r>
              <w:rPr>
                <w:rFonts w:hint="eastAsia"/>
              </w:rPr>
              <w:t>二等奖：20分/项</w:t>
            </w:r>
          </w:p>
          <w:p>
            <w:pPr>
              <w:spacing w:before="124" w:beforeLines="40" w:after="124" w:afterLines="40"/>
              <w:rPr>
                <w:rFonts w:hint="eastAsia"/>
              </w:rPr>
            </w:pPr>
            <w:r>
              <w:rPr>
                <w:rFonts w:hint="eastAsia"/>
              </w:rPr>
              <w:t>三等奖：10分/项</w:t>
            </w:r>
          </w:p>
        </w:tc>
        <w:tc>
          <w:tcPr>
            <w:tcW w:w="3093" w:type="dxa"/>
            <w:vMerge w:val="continue"/>
            <w:noWrap w:val="0"/>
            <w:vAlign w:val="top"/>
          </w:tcPr>
          <w:p>
            <w:pPr>
              <w:spacing w:line="300" w:lineRule="auto"/>
              <w:rPr>
                <w:rFonts w:hint="eastAsia"/>
              </w:rPr>
            </w:pPr>
          </w:p>
        </w:tc>
      </w:tr>
    </w:tbl>
    <w:p>
      <w:pPr>
        <w:rPr>
          <w:rFonts w:hint="eastAsia"/>
          <w:b/>
          <w:color w:val="000000"/>
          <w:sz w:val="24"/>
        </w:rPr>
      </w:pPr>
    </w:p>
    <w:p>
      <w:pPr>
        <w:rPr>
          <w:rFonts w:hint="eastAsia"/>
          <w:b/>
          <w:color w:val="000000"/>
          <w:sz w:val="24"/>
        </w:rPr>
      </w:pPr>
      <w:r>
        <w:rPr>
          <w:rFonts w:hint="eastAsia"/>
          <w:b/>
          <w:color w:val="000000"/>
          <w:sz w:val="24"/>
          <w:lang w:eastAsia="zh-CN"/>
        </w:rPr>
        <w:t>（二）</w:t>
      </w:r>
      <w:r>
        <w:rPr>
          <w:rFonts w:hint="eastAsia"/>
          <w:b/>
          <w:color w:val="000000"/>
          <w:sz w:val="24"/>
        </w:rPr>
        <w:t>素质拓展计分标准</w:t>
      </w:r>
    </w:p>
    <w:p>
      <w:pPr>
        <w:rPr>
          <w:rFonts w:hint="eastAsia"/>
          <w:color w:val="000000"/>
          <w:sz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noWrap w:val="0"/>
            <w:vAlign w:val="top"/>
          </w:tcPr>
          <w:p>
            <w:pPr>
              <w:rPr>
                <w:rFonts w:hint="eastAsia"/>
                <w:color w:val="000000"/>
                <w:sz w:val="24"/>
              </w:rPr>
            </w:pPr>
            <w:r>
              <w:rPr>
                <w:rFonts w:hint="eastAsia"/>
                <w:color w:val="000000"/>
                <w:sz w:val="24"/>
              </w:rPr>
              <w:t>加分项</w:t>
            </w:r>
          </w:p>
        </w:tc>
        <w:tc>
          <w:tcPr>
            <w:tcW w:w="2321" w:type="dxa"/>
            <w:noWrap w:val="0"/>
            <w:vAlign w:val="top"/>
          </w:tcPr>
          <w:p>
            <w:pPr>
              <w:rPr>
                <w:rFonts w:hint="eastAsia"/>
                <w:color w:val="000000"/>
                <w:sz w:val="24"/>
              </w:rPr>
            </w:pPr>
            <w:r>
              <w:rPr>
                <w:rFonts w:hint="eastAsia"/>
                <w:color w:val="000000"/>
                <w:sz w:val="24"/>
              </w:rPr>
              <w:t>级别</w:t>
            </w:r>
          </w:p>
        </w:tc>
        <w:tc>
          <w:tcPr>
            <w:tcW w:w="2322" w:type="dxa"/>
            <w:noWrap w:val="0"/>
            <w:vAlign w:val="top"/>
          </w:tcPr>
          <w:p>
            <w:pPr>
              <w:rPr>
                <w:rFonts w:hint="eastAsia"/>
                <w:color w:val="000000"/>
                <w:sz w:val="24"/>
              </w:rPr>
            </w:pPr>
            <w:r>
              <w:rPr>
                <w:rFonts w:hint="eastAsia"/>
                <w:color w:val="000000"/>
                <w:sz w:val="24"/>
              </w:rPr>
              <w:t>计分标准</w:t>
            </w:r>
          </w:p>
        </w:tc>
        <w:tc>
          <w:tcPr>
            <w:tcW w:w="2322" w:type="dxa"/>
            <w:noWrap w:val="0"/>
            <w:vAlign w:val="top"/>
          </w:tcPr>
          <w:p>
            <w:pPr>
              <w:rPr>
                <w:rFonts w:hint="eastAsia"/>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2321" w:type="dxa"/>
            <w:vMerge w:val="restart"/>
            <w:noWrap w:val="0"/>
            <w:vAlign w:val="top"/>
          </w:tcPr>
          <w:p>
            <w:pPr>
              <w:rPr>
                <w:rFonts w:hint="eastAsia"/>
                <w:b/>
                <w:bCs/>
                <w:szCs w:val="22"/>
              </w:rPr>
            </w:pPr>
          </w:p>
          <w:p>
            <w:pPr>
              <w:rPr>
                <w:rFonts w:hint="eastAsia"/>
                <w:b/>
                <w:bCs/>
                <w:szCs w:val="22"/>
              </w:rPr>
            </w:pPr>
          </w:p>
          <w:p>
            <w:pPr>
              <w:rPr>
                <w:rFonts w:hint="eastAsia"/>
                <w:b/>
                <w:bCs/>
                <w:sz w:val="24"/>
                <w:szCs w:val="24"/>
                <w:highlight w:val="none"/>
              </w:rPr>
            </w:pPr>
            <w:r>
              <w:rPr>
                <w:rFonts w:hint="eastAsia"/>
                <w:b/>
                <w:bCs/>
                <w:sz w:val="24"/>
                <w:szCs w:val="24"/>
                <w:highlight w:val="none"/>
              </w:rPr>
              <w:t>竞</w:t>
            </w:r>
          </w:p>
          <w:p>
            <w:pPr>
              <w:rPr>
                <w:rFonts w:hint="eastAsia"/>
                <w:b/>
                <w:bCs/>
                <w:sz w:val="24"/>
                <w:szCs w:val="24"/>
                <w:highlight w:val="none"/>
              </w:rPr>
            </w:pPr>
            <w:r>
              <w:rPr>
                <w:rFonts w:hint="eastAsia"/>
                <w:b/>
                <w:bCs/>
                <w:sz w:val="24"/>
                <w:szCs w:val="24"/>
                <w:highlight w:val="none"/>
              </w:rPr>
              <w:t>赛</w:t>
            </w:r>
          </w:p>
          <w:p>
            <w:pPr>
              <w:rPr>
                <w:rFonts w:hint="eastAsia"/>
                <w:b/>
                <w:bCs/>
                <w:szCs w:val="22"/>
              </w:rPr>
            </w:pPr>
            <w:r>
              <w:rPr>
                <w:rFonts w:hint="eastAsia"/>
                <w:b/>
                <w:bCs/>
                <w:sz w:val="24"/>
                <w:szCs w:val="24"/>
                <w:highlight w:val="none"/>
              </w:rPr>
              <w:t>类</w:t>
            </w:r>
          </w:p>
        </w:tc>
        <w:tc>
          <w:tcPr>
            <w:tcW w:w="2321" w:type="dxa"/>
            <w:noWrap w:val="0"/>
            <w:vAlign w:val="top"/>
          </w:tcPr>
          <w:p>
            <w:pPr>
              <w:rPr>
                <w:rFonts w:hint="eastAsia"/>
                <w:color w:val="000000"/>
                <w:sz w:val="24"/>
              </w:rPr>
            </w:pPr>
            <w:r>
              <w:rPr>
                <w:rFonts w:hint="eastAsia"/>
                <w:color w:val="000000"/>
                <w:sz w:val="24"/>
              </w:rPr>
              <w:t>国家级</w:t>
            </w:r>
          </w:p>
        </w:tc>
        <w:tc>
          <w:tcPr>
            <w:tcW w:w="2322" w:type="dxa"/>
            <w:noWrap w:val="0"/>
            <w:vAlign w:val="top"/>
          </w:tcPr>
          <w:p>
            <w:pPr>
              <w:rPr>
                <w:rFonts w:hint="eastAsia"/>
                <w:color w:val="000000"/>
                <w:sz w:val="24"/>
              </w:rPr>
            </w:pPr>
            <w:r>
              <w:rPr>
                <w:rFonts w:hint="eastAsia"/>
                <w:color w:val="000000"/>
                <w:sz w:val="24"/>
              </w:rPr>
              <w:t>一等奖：40分/项</w:t>
            </w:r>
          </w:p>
          <w:p>
            <w:pPr>
              <w:rPr>
                <w:rFonts w:hint="eastAsia"/>
                <w:color w:val="000000"/>
                <w:sz w:val="24"/>
              </w:rPr>
            </w:pPr>
            <w:r>
              <w:rPr>
                <w:rFonts w:hint="eastAsia"/>
                <w:color w:val="000000"/>
                <w:sz w:val="24"/>
              </w:rPr>
              <w:t>二等奖：30分/项</w:t>
            </w:r>
          </w:p>
          <w:p>
            <w:pPr>
              <w:rPr>
                <w:rFonts w:hint="eastAsia"/>
                <w:color w:val="000000"/>
                <w:sz w:val="24"/>
              </w:rPr>
            </w:pPr>
            <w:r>
              <w:rPr>
                <w:rFonts w:hint="eastAsia"/>
                <w:color w:val="000000"/>
                <w:sz w:val="24"/>
              </w:rPr>
              <w:t>三等奖：20分/项</w:t>
            </w:r>
          </w:p>
        </w:tc>
        <w:tc>
          <w:tcPr>
            <w:tcW w:w="2322" w:type="dxa"/>
            <w:vMerge w:val="restart"/>
            <w:noWrap w:val="0"/>
            <w:vAlign w:val="top"/>
          </w:tcPr>
          <w:p>
            <w:pPr>
              <w:numPr>
                <w:ilvl w:val="0"/>
                <w:numId w:val="3"/>
              </w:numPr>
              <w:rPr>
                <w:rFonts w:hint="eastAsia"/>
                <w:color w:val="000000"/>
                <w:szCs w:val="21"/>
              </w:rPr>
            </w:pPr>
            <w:r>
              <w:rPr>
                <w:rFonts w:hint="eastAsia"/>
                <w:color w:val="000000"/>
                <w:szCs w:val="21"/>
              </w:rPr>
              <w:t>学科竞赛是指教育行政主管部门、学位办或团中央、团市委组织举办的研究生学科相关竞赛活动。</w:t>
            </w:r>
          </w:p>
          <w:p>
            <w:pPr>
              <w:numPr>
                <w:ilvl w:val="0"/>
                <w:numId w:val="3"/>
              </w:numPr>
              <w:rPr>
                <w:rFonts w:hint="eastAsia"/>
                <w:color w:val="000000"/>
                <w:szCs w:val="21"/>
              </w:rPr>
            </w:pPr>
            <w:r>
              <w:rPr>
                <w:rFonts w:hint="eastAsia"/>
                <w:color w:val="000000"/>
                <w:szCs w:val="21"/>
              </w:rPr>
              <w:t>创新创业大赛仅指“挑战杯”、“创青春”、“互联网+”、“知行杯”社会实践大赛等由教育行政部门举办的大赛。</w:t>
            </w:r>
          </w:p>
          <w:p>
            <w:pPr>
              <w:numPr>
                <w:ilvl w:val="0"/>
                <w:numId w:val="3"/>
              </w:numPr>
              <w:rPr>
                <w:rFonts w:hint="eastAsia"/>
                <w:color w:val="000000"/>
                <w:szCs w:val="21"/>
              </w:rPr>
            </w:pPr>
            <w:r>
              <w:rPr>
                <w:rFonts w:hint="eastAsia"/>
                <w:color w:val="000000"/>
                <w:szCs w:val="21"/>
              </w:rPr>
              <w:t>由高校承办的学科竞赛活动按照校级加分。</w:t>
            </w:r>
          </w:p>
          <w:p>
            <w:pPr>
              <w:numPr>
                <w:ilvl w:val="0"/>
                <w:numId w:val="3"/>
              </w:numPr>
              <w:rPr>
                <w:rFonts w:hint="eastAsia"/>
                <w:color w:val="000000"/>
                <w:szCs w:val="21"/>
              </w:rPr>
            </w:pPr>
            <w:r>
              <w:rPr>
                <w:rFonts w:hint="eastAsia"/>
                <w:color w:val="000000"/>
                <w:szCs w:val="21"/>
              </w:rPr>
              <w:t>校级比赛活动必须由研究生主管部门（学工部和研究生处）举办的活动，二级学院或其他部门的活动不在此处加分，具体办法由学院制定细则认定。</w:t>
            </w:r>
          </w:p>
          <w:p>
            <w:pPr>
              <w:numPr>
                <w:ilvl w:val="0"/>
                <w:numId w:val="3"/>
              </w:numPr>
              <w:rPr>
                <w:rFonts w:hint="eastAsia"/>
                <w:color w:val="000000"/>
                <w:szCs w:val="21"/>
              </w:rPr>
            </w:pPr>
            <w:r>
              <w:rPr>
                <w:rFonts w:hint="eastAsia"/>
                <w:color w:val="000000"/>
                <w:szCs w:val="21"/>
              </w:rPr>
              <w:t>集体获奖减半加分。</w:t>
            </w:r>
          </w:p>
          <w:p>
            <w:pPr>
              <w:numPr>
                <w:ilvl w:val="0"/>
                <w:numId w:val="3"/>
              </w:numPr>
              <w:rPr>
                <w:rFonts w:hint="eastAsia"/>
                <w:color w:val="000000"/>
                <w:szCs w:val="21"/>
              </w:rPr>
            </w:pPr>
            <w:r>
              <w:rPr>
                <w:rFonts w:hint="eastAsia"/>
                <w:color w:val="000000"/>
                <w:szCs w:val="21"/>
              </w:rPr>
              <w:t>文体类竞赛参照各级别减半加分。集体赛事成员再减半加分。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2321" w:type="dxa"/>
            <w:vMerge w:val="continue"/>
            <w:noWrap w:val="0"/>
            <w:vAlign w:val="top"/>
          </w:tcPr>
          <w:p>
            <w:pPr>
              <w:rPr>
                <w:rFonts w:hint="eastAsia"/>
                <w:color w:val="000000"/>
                <w:sz w:val="24"/>
              </w:rPr>
            </w:pPr>
          </w:p>
        </w:tc>
        <w:tc>
          <w:tcPr>
            <w:tcW w:w="2321" w:type="dxa"/>
            <w:noWrap w:val="0"/>
            <w:vAlign w:val="top"/>
          </w:tcPr>
          <w:p>
            <w:pPr>
              <w:rPr>
                <w:rFonts w:hint="eastAsia"/>
                <w:color w:val="000000"/>
                <w:sz w:val="24"/>
              </w:rPr>
            </w:pPr>
            <w:r>
              <w:rPr>
                <w:rFonts w:hint="eastAsia"/>
                <w:color w:val="000000"/>
                <w:sz w:val="24"/>
              </w:rPr>
              <w:t>省部级</w:t>
            </w:r>
          </w:p>
        </w:tc>
        <w:tc>
          <w:tcPr>
            <w:tcW w:w="2322" w:type="dxa"/>
            <w:noWrap w:val="0"/>
            <w:vAlign w:val="top"/>
          </w:tcPr>
          <w:p>
            <w:pPr>
              <w:rPr>
                <w:rFonts w:hint="eastAsia"/>
                <w:color w:val="000000"/>
                <w:sz w:val="24"/>
              </w:rPr>
            </w:pPr>
            <w:r>
              <w:rPr>
                <w:rFonts w:hint="eastAsia"/>
                <w:color w:val="000000"/>
                <w:sz w:val="24"/>
              </w:rPr>
              <w:t>一等奖：20分/项</w:t>
            </w:r>
          </w:p>
          <w:p>
            <w:pPr>
              <w:rPr>
                <w:rFonts w:hint="eastAsia"/>
                <w:color w:val="000000"/>
                <w:sz w:val="24"/>
              </w:rPr>
            </w:pPr>
            <w:r>
              <w:rPr>
                <w:rFonts w:hint="eastAsia"/>
                <w:color w:val="000000"/>
                <w:sz w:val="24"/>
              </w:rPr>
              <w:t>二等奖：15分/项</w:t>
            </w:r>
          </w:p>
          <w:p>
            <w:pPr>
              <w:rPr>
                <w:rFonts w:hint="eastAsia"/>
                <w:color w:val="000000"/>
                <w:sz w:val="24"/>
              </w:rPr>
            </w:pPr>
            <w:r>
              <w:rPr>
                <w:rFonts w:hint="eastAsia"/>
                <w:color w:val="000000"/>
                <w:sz w:val="24"/>
              </w:rPr>
              <w:t>三等奖：10分/项</w:t>
            </w:r>
          </w:p>
        </w:tc>
        <w:tc>
          <w:tcPr>
            <w:tcW w:w="2322" w:type="dxa"/>
            <w:vMerge w:val="continue"/>
            <w:noWrap w:val="0"/>
            <w:vAlign w:val="top"/>
          </w:tcPr>
          <w:p>
            <w:pP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2321" w:type="dxa"/>
            <w:vMerge w:val="continue"/>
            <w:noWrap w:val="0"/>
            <w:vAlign w:val="top"/>
          </w:tcPr>
          <w:p>
            <w:pPr>
              <w:rPr>
                <w:rFonts w:hint="eastAsia"/>
                <w:color w:val="000000"/>
                <w:sz w:val="24"/>
              </w:rPr>
            </w:pPr>
          </w:p>
        </w:tc>
        <w:tc>
          <w:tcPr>
            <w:tcW w:w="2321" w:type="dxa"/>
            <w:noWrap w:val="0"/>
            <w:vAlign w:val="top"/>
          </w:tcPr>
          <w:p>
            <w:pPr>
              <w:rPr>
                <w:rFonts w:hint="eastAsia"/>
                <w:color w:val="000000"/>
                <w:sz w:val="24"/>
              </w:rPr>
            </w:pPr>
            <w:r>
              <w:rPr>
                <w:rFonts w:hint="eastAsia"/>
                <w:color w:val="000000"/>
                <w:sz w:val="24"/>
              </w:rPr>
              <w:t>校级</w:t>
            </w:r>
          </w:p>
        </w:tc>
        <w:tc>
          <w:tcPr>
            <w:tcW w:w="2322" w:type="dxa"/>
            <w:noWrap w:val="0"/>
            <w:vAlign w:val="top"/>
          </w:tcPr>
          <w:p>
            <w:pPr>
              <w:rPr>
                <w:rFonts w:hint="eastAsia"/>
                <w:color w:val="000000"/>
                <w:sz w:val="24"/>
              </w:rPr>
            </w:pPr>
            <w:r>
              <w:rPr>
                <w:rFonts w:hint="eastAsia"/>
                <w:color w:val="000000"/>
                <w:sz w:val="24"/>
              </w:rPr>
              <w:t>一等奖：10分/项</w:t>
            </w:r>
          </w:p>
          <w:p>
            <w:pPr>
              <w:rPr>
                <w:rFonts w:hint="eastAsia"/>
                <w:color w:val="000000"/>
                <w:sz w:val="24"/>
              </w:rPr>
            </w:pPr>
            <w:r>
              <w:rPr>
                <w:rFonts w:hint="eastAsia"/>
                <w:color w:val="000000"/>
                <w:sz w:val="24"/>
              </w:rPr>
              <w:t>二等奖：8分/项</w:t>
            </w:r>
          </w:p>
          <w:p>
            <w:pPr>
              <w:rPr>
                <w:rFonts w:hint="eastAsia"/>
                <w:color w:val="000000"/>
                <w:sz w:val="24"/>
              </w:rPr>
            </w:pPr>
            <w:r>
              <w:rPr>
                <w:rFonts w:hint="eastAsia"/>
                <w:color w:val="000000"/>
                <w:sz w:val="24"/>
              </w:rPr>
              <w:t>三等奖：5分/项</w:t>
            </w:r>
          </w:p>
        </w:tc>
        <w:tc>
          <w:tcPr>
            <w:tcW w:w="2322" w:type="dxa"/>
            <w:vMerge w:val="continue"/>
            <w:noWrap w:val="0"/>
            <w:vAlign w:val="top"/>
          </w:tcPr>
          <w:p>
            <w:pP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2321" w:type="dxa"/>
            <w:vMerge w:val="restart"/>
            <w:noWrap w:val="0"/>
            <w:vAlign w:val="top"/>
          </w:tcPr>
          <w:p>
            <w:pPr>
              <w:rPr>
                <w:rFonts w:hint="eastAsia"/>
                <w:b/>
                <w:bCs/>
                <w:color w:val="auto"/>
                <w:sz w:val="24"/>
                <w:highlight w:val="none"/>
              </w:rPr>
            </w:pPr>
            <w:r>
              <w:rPr>
                <w:rFonts w:hint="eastAsia"/>
                <w:b/>
                <w:bCs/>
                <w:color w:val="auto"/>
                <w:sz w:val="24"/>
                <w:highlight w:val="none"/>
              </w:rPr>
              <w:t>荣</w:t>
            </w:r>
          </w:p>
          <w:p>
            <w:pPr>
              <w:rPr>
                <w:rFonts w:hint="eastAsia"/>
                <w:b/>
                <w:bCs/>
                <w:color w:val="auto"/>
                <w:sz w:val="24"/>
                <w:highlight w:val="none"/>
              </w:rPr>
            </w:pPr>
            <w:r>
              <w:rPr>
                <w:rFonts w:hint="eastAsia"/>
                <w:b/>
                <w:bCs/>
                <w:color w:val="auto"/>
                <w:sz w:val="24"/>
                <w:highlight w:val="none"/>
              </w:rPr>
              <w:t>誉</w:t>
            </w:r>
          </w:p>
          <w:p>
            <w:pPr>
              <w:rPr>
                <w:rFonts w:hint="eastAsia"/>
                <w:color w:val="auto"/>
                <w:sz w:val="24"/>
                <w:highlight w:val="none"/>
              </w:rPr>
            </w:pPr>
            <w:r>
              <w:rPr>
                <w:rFonts w:hint="eastAsia"/>
                <w:b/>
                <w:bCs/>
                <w:color w:val="auto"/>
                <w:sz w:val="24"/>
                <w:highlight w:val="none"/>
              </w:rPr>
              <w:t>类</w:t>
            </w:r>
          </w:p>
        </w:tc>
        <w:tc>
          <w:tcPr>
            <w:tcW w:w="2321" w:type="dxa"/>
            <w:noWrap w:val="0"/>
            <w:vAlign w:val="top"/>
          </w:tcPr>
          <w:p>
            <w:pPr>
              <w:rPr>
                <w:rFonts w:hint="eastAsia"/>
                <w:color w:val="auto"/>
                <w:sz w:val="24"/>
                <w:highlight w:val="none"/>
              </w:rPr>
            </w:pPr>
            <w:r>
              <w:rPr>
                <w:rFonts w:hint="eastAsia"/>
                <w:color w:val="auto"/>
                <w:sz w:val="24"/>
                <w:highlight w:val="none"/>
              </w:rPr>
              <w:t>国家级</w:t>
            </w:r>
          </w:p>
        </w:tc>
        <w:tc>
          <w:tcPr>
            <w:tcW w:w="2322" w:type="dxa"/>
            <w:noWrap w:val="0"/>
            <w:vAlign w:val="top"/>
          </w:tcPr>
          <w:p>
            <w:pPr>
              <w:rPr>
                <w:rFonts w:hint="eastAsia"/>
                <w:color w:val="auto"/>
                <w:sz w:val="24"/>
                <w:highlight w:val="none"/>
              </w:rPr>
            </w:pPr>
            <w:r>
              <w:rPr>
                <w:rFonts w:hint="eastAsia"/>
                <w:color w:val="auto"/>
                <w:sz w:val="24"/>
                <w:highlight w:val="none"/>
              </w:rPr>
              <w:t>20分/项</w:t>
            </w:r>
          </w:p>
        </w:tc>
        <w:tc>
          <w:tcPr>
            <w:tcW w:w="2322" w:type="dxa"/>
            <w:vMerge w:val="restart"/>
            <w:noWrap w:val="0"/>
            <w:vAlign w:val="top"/>
          </w:tcPr>
          <w:p>
            <w:pPr>
              <w:numPr>
                <w:numId w:val="0"/>
              </w:numPr>
              <w:rPr>
                <w:rFonts w:hint="eastAsia"/>
                <w:color w:val="auto"/>
                <w:szCs w:val="21"/>
                <w:highlight w:val="none"/>
              </w:rPr>
            </w:pPr>
            <w:r>
              <w:rPr>
                <w:rFonts w:hint="eastAsia"/>
                <w:color w:val="auto"/>
                <w:szCs w:val="21"/>
                <w:highlight w:val="none"/>
                <w:lang w:val="en-US" w:eastAsia="zh-CN"/>
              </w:rPr>
              <w:t>1.</w:t>
            </w:r>
            <w:r>
              <w:rPr>
                <w:rFonts w:hint="eastAsia"/>
                <w:color w:val="auto"/>
                <w:szCs w:val="21"/>
                <w:highlight w:val="none"/>
              </w:rPr>
              <w:t>指教育行政管理部门或团中央、团市委和校团委授予的荣誉，校级荣誉指优秀研究生、优秀研究生干部、优秀团员、优秀党员</w:t>
            </w:r>
            <w:r>
              <w:rPr>
                <w:rFonts w:hint="eastAsia"/>
                <w:color w:val="auto"/>
                <w:szCs w:val="21"/>
                <w:highlight w:val="none"/>
                <w:lang w:eastAsia="zh-CN"/>
              </w:rPr>
              <w:t>等</w:t>
            </w:r>
            <w:r>
              <w:rPr>
                <w:rFonts w:hint="eastAsia"/>
                <w:color w:val="auto"/>
                <w:szCs w:val="21"/>
                <w:highlight w:val="none"/>
              </w:rPr>
              <w:t>；</w:t>
            </w:r>
          </w:p>
          <w:p>
            <w:pPr>
              <w:numPr>
                <w:numId w:val="0"/>
              </w:numPr>
              <w:rPr>
                <w:rFonts w:hint="eastAsia"/>
                <w:color w:val="000000"/>
                <w:szCs w:val="21"/>
              </w:rPr>
            </w:pPr>
            <w:r>
              <w:rPr>
                <w:rFonts w:hint="eastAsia"/>
                <w:color w:val="000000"/>
                <w:szCs w:val="21"/>
                <w:lang w:val="en-US" w:eastAsia="zh-CN"/>
              </w:rPr>
              <w:t>2..</w:t>
            </w:r>
            <w:r>
              <w:rPr>
                <w:rFonts w:hint="eastAsia"/>
                <w:color w:val="000000"/>
                <w:szCs w:val="21"/>
              </w:rPr>
              <w:t>集体荣誉减半加分。</w:t>
            </w:r>
          </w:p>
          <w:p>
            <w:pPr>
              <w:numPr>
                <w:numId w:val="0"/>
              </w:numPr>
              <w:rPr>
                <w:rFonts w:hint="eastAsia"/>
                <w:color w:val="000000"/>
                <w:szCs w:val="21"/>
              </w:rPr>
            </w:pPr>
            <w:r>
              <w:rPr>
                <w:rFonts w:hint="eastAsia"/>
                <w:color w:val="000000"/>
                <w:szCs w:val="21"/>
                <w:lang w:val="en-US" w:eastAsia="zh-CN"/>
              </w:rPr>
              <w:t>3</w:t>
            </w:r>
            <w:r>
              <w:rPr>
                <w:rFonts w:hint="eastAsia"/>
                <w:color w:val="000000"/>
                <w:szCs w:val="21"/>
              </w:rPr>
              <w:t>.连级嘉奖加5分，营级嘉奖加10分，团级嘉奖加15分，优秀义务兵加20分，三等功加30分；</w:t>
            </w:r>
          </w:p>
          <w:p>
            <w:pPr>
              <w:numPr>
                <w:numId w:val="0"/>
              </w:numPr>
              <w:rPr>
                <w:rFonts w:hint="eastAsia"/>
                <w:color w:val="000000"/>
                <w:szCs w:val="21"/>
              </w:rPr>
            </w:pPr>
            <w:r>
              <w:rPr>
                <w:rFonts w:hint="eastAsia"/>
                <w:color w:val="000000"/>
                <w:szCs w:val="21"/>
                <w:lang w:val="en-US" w:eastAsia="zh-CN"/>
              </w:rPr>
              <w:t>4</w:t>
            </w:r>
            <w:r>
              <w:rPr>
                <w:rFonts w:hint="eastAsia"/>
                <w:color w:val="000000"/>
                <w:szCs w:val="21"/>
              </w:rPr>
              <w:t>.同一事迹受不同级别表彰者，以最高分计，不累加。</w:t>
            </w:r>
          </w:p>
          <w:p>
            <w:pPr>
              <w:rPr>
                <w:rFonts w:hint="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2321" w:type="dxa"/>
            <w:vMerge w:val="continue"/>
            <w:noWrap w:val="0"/>
            <w:vAlign w:val="top"/>
          </w:tcPr>
          <w:p>
            <w:pPr>
              <w:rPr>
                <w:rFonts w:hint="eastAsia"/>
                <w:color w:val="000000"/>
                <w:sz w:val="24"/>
              </w:rPr>
            </w:pPr>
          </w:p>
        </w:tc>
        <w:tc>
          <w:tcPr>
            <w:tcW w:w="2321" w:type="dxa"/>
            <w:noWrap w:val="0"/>
            <w:vAlign w:val="top"/>
          </w:tcPr>
          <w:p>
            <w:pPr>
              <w:rPr>
                <w:rFonts w:hint="eastAsia"/>
                <w:color w:val="000000"/>
                <w:sz w:val="24"/>
              </w:rPr>
            </w:pPr>
            <w:r>
              <w:rPr>
                <w:rFonts w:hint="eastAsia"/>
                <w:color w:val="000000"/>
                <w:sz w:val="24"/>
              </w:rPr>
              <w:t>省部级</w:t>
            </w:r>
          </w:p>
        </w:tc>
        <w:tc>
          <w:tcPr>
            <w:tcW w:w="2322" w:type="dxa"/>
            <w:noWrap w:val="0"/>
            <w:vAlign w:val="top"/>
          </w:tcPr>
          <w:p>
            <w:pPr>
              <w:rPr>
                <w:rFonts w:hint="eastAsia"/>
                <w:color w:val="000000"/>
                <w:sz w:val="24"/>
              </w:rPr>
            </w:pPr>
            <w:r>
              <w:rPr>
                <w:rFonts w:hint="eastAsia"/>
                <w:color w:val="000000"/>
                <w:sz w:val="24"/>
              </w:rPr>
              <w:t>10分/项</w:t>
            </w:r>
          </w:p>
        </w:tc>
        <w:tc>
          <w:tcPr>
            <w:tcW w:w="2322" w:type="dxa"/>
            <w:vMerge w:val="continue"/>
            <w:noWrap w:val="0"/>
            <w:vAlign w:val="top"/>
          </w:tcPr>
          <w:p>
            <w:pP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321" w:type="dxa"/>
            <w:vMerge w:val="continue"/>
            <w:noWrap w:val="0"/>
            <w:vAlign w:val="top"/>
          </w:tcPr>
          <w:p>
            <w:pPr>
              <w:rPr>
                <w:rFonts w:hint="eastAsia"/>
                <w:color w:val="000000"/>
                <w:sz w:val="24"/>
              </w:rPr>
            </w:pPr>
          </w:p>
        </w:tc>
        <w:tc>
          <w:tcPr>
            <w:tcW w:w="2321" w:type="dxa"/>
            <w:noWrap w:val="0"/>
            <w:vAlign w:val="top"/>
          </w:tcPr>
          <w:p>
            <w:pPr>
              <w:rPr>
                <w:rFonts w:hint="eastAsia"/>
                <w:color w:val="000000"/>
                <w:sz w:val="24"/>
              </w:rPr>
            </w:pPr>
            <w:r>
              <w:rPr>
                <w:rFonts w:hint="eastAsia"/>
                <w:color w:val="000000"/>
                <w:sz w:val="24"/>
              </w:rPr>
              <w:t>校级</w:t>
            </w:r>
          </w:p>
        </w:tc>
        <w:tc>
          <w:tcPr>
            <w:tcW w:w="2322" w:type="dxa"/>
            <w:noWrap w:val="0"/>
            <w:vAlign w:val="top"/>
          </w:tcPr>
          <w:p>
            <w:pPr>
              <w:rPr>
                <w:rFonts w:hint="eastAsia"/>
                <w:color w:val="000000"/>
                <w:sz w:val="24"/>
              </w:rPr>
            </w:pPr>
            <w:r>
              <w:rPr>
                <w:rFonts w:hint="eastAsia"/>
                <w:color w:val="000000"/>
                <w:sz w:val="24"/>
              </w:rPr>
              <w:t>5分/项</w:t>
            </w:r>
          </w:p>
        </w:tc>
        <w:tc>
          <w:tcPr>
            <w:tcW w:w="2322" w:type="dxa"/>
            <w:vMerge w:val="continue"/>
            <w:noWrap w:val="0"/>
            <w:vAlign w:val="top"/>
          </w:tcPr>
          <w:p>
            <w:pPr>
              <w:rPr>
                <w:rFonts w:hint="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2321" w:type="dxa"/>
            <w:vMerge w:val="continue"/>
            <w:noWrap w:val="0"/>
            <w:vAlign w:val="top"/>
          </w:tcPr>
          <w:p>
            <w:pPr>
              <w:rPr>
                <w:rFonts w:hint="eastAsia"/>
                <w:color w:val="000000"/>
                <w:sz w:val="24"/>
              </w:rPr>
            </w:pPr>
          </w:p>
        </w:tc>
        <w:tc>
          <w:tcPr>
            <w:tcW w:w="2321" w:type="dxa"/>
            <w:noWrap w:val="0"/>
            <w:vAlign w:val="top"/>
          </w:tcPr>
          <w:p>
            <w:pPr>
              <w:rPr>
                <w:rFonts w:hint="eastAsia"/>
                <w:color w:val="000000"/>
                <w:sz w:val="24"/>
              </w:rPr>
            </w:pPr>
            <w:r>
              <w:rPr>
                <w:rFonts w:hint="eastAsia"/>
                <w:color w:val="000000"/>
                <w:sz w:val="24"/>
              </w:rPr>
              <w:t>退役士兵</w:t>
            </w:r>
          </w:p>
        </w:tc>
        <w:tc>
          <w:tcPr>
            <w:tcW w:w="2322" w:type="dxa"/>
            <w:noWrap w:val="0"/>
            <w:vAlign w:val="top"/>
          </w:tcPr>
          <w:p>
            <w:pPr>
              <w:rPr>
                <w:rFonts w:hint="eastAsia"/>
                <w:color w:val="000000"/>
                <w:sz w:val="24"/>
              </w:rPr>
            </w:pPr>
            <w:r>
              <w:rPr>
                <w:rFonts w:hint="eastAsia"/>
                <w:color w:val="000000"/>
                <w:sz w:val="24"/>
              </w:rPr>
              <w:t>5-30分/项</w:t>
            </w:r>
          </w:p>
        </w:tc>
        <w:tc>
          <w:tcPr>
            <w:tcW w:w="2322" w:type="dxa"/>
            <w:vMerge w:val="continue"/>
            <w:noWrap w:val="0"/>
            <w:vAlign w:val="top"/>
          </w:tcPr>
          <w:p>
            <w:pPr>
              <w:rPr>
                <w:rFonts w:hint="eastAsia"/>
                <w:color w:val="000000"/>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630" w:leftChars="0" w:right="0" w:rightChars="0"/>
        <w:jc w:val="left"/>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630" w:leftChars="0" w:right="0" w:rightChars="0"/>
        <w:jc w:val="left"/>
        <w:textAlignment w:val="auto"/>
        <w:outlineLvl w:val="9"/>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二、现场答辩计分标准</w:t>
      </w:r>
      <w:r>
        <w:rPr>
          <w:rFonts w:hint="eastAsia" w:ascii="仿宋" w:hAnsi="仿宋" w:eastAsia="仿宋" w:cs="仿宋"/>
          <w:sz w:val="28"/>
          <w:szCs w:val="28"/>
          <w:lang w:val="en-US" w:eastAsia="zh-CN"/>
        </w:rPr>
        <w:t>（满分50分）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现场评审时参考答辩人的表达与思维（</w:t>
      </w:r>
      <w:r>
        <w:rPr>
          <w:rFonts w:hint="eastAsia" w:ascii="仿宋" w:hAnsi="仿宋" w:eastAsia="仿宋" w:cs="仿宋"/>
          <w:sz w:val="28"/>
          <w:szCs w:val="28"/>
          <w:lang w:val="en-US" w:eastAsia="zh-CN"/>
        </w:rPr>
        <w:t>20分</w:t>
      </w:r>
      <w:r>
        <w:rPr>
          <w:rFonts w:hint="eastAsia" w:ascii="仿宋" w:hAnsi="仿宋" w:eastAsia="仿宋" w:cs="仿宋"/>
          <w:sz w:val="28"/>
          <w:szCs w:val="28"/>
          <w:lang w:eastAsia="zh-CN"/>
        </w:rPr>
        <w:t>）、科研成果或专业能力（</w:t>
      </w:r>
      <w:r>
        <w:rPr>
          <w:rFonts w:hint="eastAsia" w:ascii="仿宋" w:hAnsi="仿宋" w:eastAsia="仿宋" w:cs="仿宋"/>
          <w:sz w:val="28"/>
          <w:szCs w:val="28"/>
          <w:lang w:val="en-US" w:eastAsia="zh-CN"/>
        </w:rPr>
        <w:t>20分</w:t>
      </w:r>
      <w:r>
        <w:rPr>
          <w:rFonts w:hint="eastAsia" w:ascii="仿宋" w:hAnsi="仿宋" w:eastAsia="仿宋" w:cs="仿宋"/>
          <w:sz w:val="28"/>
          <w:szCs w:val="28"/>
          <w:lang w:eastAsia="zh-CN"/>
        </w:rPr>
        <w:t>）、仪表仪态（</w:t>
      </w:r>
      <w:r>
        <w:rPr>
          <w:rFonts w:hint="eastAsia" w:ascii="仿宋" w:hAnsi="仿宋" w:eastAsia="仿宋" w:cs="仿宋"/>
          <w:sz w:val="28"/>
          <w:szCs w:val="28"/>
          <w:lang w:val="en-US" w:eastAsia="zh-CN"/>
        </w:rPr>
        <w:t>5分</w:t>
      </w:r>
      <w:r>
        <w:rPr>
          <w:rFonts w:hint="eastAsia" w:ascii="仿宋" w:hAnsi="仿宋" w:eastAsia="仿宋" w:cs="仿宋"/>
          <w:sz w:val="28"/>
          <w:szCs w:val="28"/>
          <w:lang w:eastAsia="zh-CN"/>
        </w:rPr>
        <w:t>）、时间把控（</w:t>
      </w:r>
      <w:r>
        <w:rPr>
          <w:rFonts w:hint="eastAsia" w:ascii="仿宋" w:hAnsi="仿宋" w:eastAsia="仿宋" w:cs="仿宋"/>
          <w:sz w:val="28"/>
          <w:szCs w:val="28"/>
          <w:lang w:val="en-US" w:eastAsia="zh-CN"/>
        </w:rPr>
        <w:t>5分</w:t>
      </w:r>
      <w:r>
        <w:rPr>
          <w:rFonts w:hint="eastAsia" w:ascii="仿宋" w:hAnsi="仿宋" w:eastAsia="仿宋" w:cs="仿宋"/>
          <w:sz w:val="28"/>
          <w:szCs w:val="28"/>
          <w:lang w:eastAsia="zh-CN"/>
        </w:rPr>
        <w:t>）等四个部分进行评分。其中，</w:t>
      </w:r>
      <w:r>
        <w:rPr>
          <w:rFonts w:hint="eastAsia" w:ascii="仿宋" w:hAnsi="仿宋" w:eastAsia="仿宋" w:cs="仿宋"/>
          <w:sz w:val="28"/>
          <w:szCs w:val="28"/>
        </w:rPr>
        <w:t>学术型研究生的评审标准偏重于科研创新能力和体现创新能力的科研成果，专业学位研究生的评审标准偏重于专业实践能力和适应专业岗位的综合素质。</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_GB2312"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_GB2312" w:eastAsia="仿宋_GB2312" w:cs="Times New Roman"/>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D621C"/>
    <w:multiLevelType w:val="singleLevel"/>
    <w:tmpl w:val="FD5D621C"/>
    <w:lvl w:ilvl="0" w:tentative="0">
      <w:start w:val="1"/>
      <w:numFmt w:val="decimal"/>
      <w:suff w:val="space"/>
      <w:lvlText w:val="%1."/>
      <w:lvlJc w:val="left"/>
    </w:lvl>
  </w:abstractNum>
  <w:abstractNum w:abstractNumId="1">
    <w:nsid w:val="44E961DA"/>
    <w:multiLevelType w:val="singleLevel"/>
    <w:tmpl w:val="44E961DA"/>
    <w:lvl w:ilvl="0" w:tentative="0">
      <w:start w:val="1"/>
      <w:numFmt w:val="decimal"/>
      <w:lvlText w:val="%1."/>
      <w:lvlJc w:val="left"/>
      <w:pPr>
        <w:tabs>
          <w:tab w:val="left" w:pos="312"/>
        </w:tabs>
      </w:pPr>
    </w:lvl>
  </w:abstractNum>
  <w:abstractNum w:abstractNumId="2">
    <w:nsid w:val="7B665F62"/>
    <w:multiLevelType w:val="singleLevel"/>
    <w:tmpl w:val="7B665F62"/>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7731E"/>
    <w:rsid w:val="03295D31"/>
    <w:rsid w:val="04474315"/>
    <w:rsid w:val="06B33A47"/>
    <w:rsid w:val="13CF506A"/>
    <w:rsid w:val="308F5040"/>
    <w:rsid w:val="37331EDA"/>
    <w:rsid w:val="3E11546D"/>
    <w:rsid w:val="42FC541E"/>
    <w:rsid w:val="455711D2"/>
    <w:rsid w:val="4607731E"/>
    <w:rsid w:val="4EEC24D4"/>
    <w:rsid w:val="4F8841EB"/>
    <w:rsid w:val="532619B2"/>
    <w:rsid w:val="6ECC55B4"/>
    <w:rsid w:val="73BF4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rPr>
  </w:style>
  <w:style w:type="paragraph" w:styleId="4">
    <w:name w:val="Normal (Web)"/>
    <w:basedOn w:val="1"/>
    <w:qFormat/>
    <w:uiPriority w:val="0"/>
    <w:pPr>
      <w:jc w:val="left"/>
    </w:pPr>
    <w:rPr>
      <w:rFonts w:ascii="微软雅黑" w:hAnsi="微软雅黑" w:eastAsia="微软雅黑" w:cs="Times New Roman"/>
      <w:kern w:val="0"/>
      <w:sz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2021-09-10T11:02:00Z</dcterms:created>
  <dc:creator>ZH</dc:creator>
  <cp:lastModifiedBy>如果</cp:lastModifiedBy>
  <dcterms:modified xsi:type="dcterms:W3CDTF">2021-09-26T07:50:55Z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AF350B0C085F49A6B6165C32CFF1E507</vt:lpwstr>
  </property>
</Properties>
</file>